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2191A1" w14:textId="4C015819" w:rsidR="00380E22" w:rsidRPr="002B7483" w:rsidRDefault="00380E22" w:rsidP="00380E22">
      <w:pPr>
        <w:tabs>
          <w:tab w:val="left" w:pos="1820"/>
        </w:tabs>
        <w:spacing w:beforeLines="0" w:before="0" w:afterLines="0" w:after="60"/>
        <w:rPr>
          <w:rFonts w:cs="Times New Roman"/>
          <w:b/>
          <w:bCs/>
          <w:sz w:val="24"/>
          <w:lang w:val="en-GB"/>
        </w:rPr>
      </w:pPr>
      <w:bookmarkStart w:id="0" w:name="OLE_LINK21"/>
      <w:bookmarkStart w:id="1" w:name="OLE_LINK22"/>
      <w:r>
        <w:rPr>
          <w:rFonts w:cs="Times New Roman"/>
          <w:b/>
          <w:bCs/>
          <w:sz w:val="24"/>
          <w:lang w:val="en-GB"/>
        </w:rPr>
        <w:t xml:space="preserve">3GPP TSG </w:t>
      </w:r>
      <w:r w:rsidRPr="004E2E0D">
        <w:rPr>
          <w:rFonts w:cs="Times New Roman"/>
          <w:b/>
          <w:bCs/>
          <w:sz w:val="24"/>
          <w:lang w:val="en-GB"/>
        </w:rPr>
        <w:t>RAN WG2 #</w:t>
      </w:r>
      <w:r>
        <w:rPr>
          <w:rFonts w:cs="Times New Roman"/>
          <w:b/>
          <w:bCs/>
          <w:sz w:val="24"/>
          <w:lang w:val="en-GB"/>
        </w:rPr>
        <w:t>12</w:t>
      </w:r>
      <w:r w:rsidR="001D5F22">
        <w:rPr>
          <w:rFonts w:cs="Times New Roman"/>
          <w:b/>
          <w:bCs/>
          <w:sz w:val="24"/>
          <w:lang w:val="en-GB"/>
        </w:rPr>
        <w:t>4</w:t>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hint="eastAsia"/>
          <w:b/>
          <w:bCs/>
          <w:sz w:val="24"/>
          <w:lang w:val="en-GB"/>
        </w:rPr>
        <w:tab/>
      </w:r>
      <w:r w:rsidRPr="002B7483">
        <w:rPr>
          <w:rFonts w:cs="Times New Roman"/>
          <w:b/>
          <w:bCs/>
          <w:sz w:val="24"/>
          <w:lang w:val="en-GB"/>
        </w:rPr>
        <w:tab/>
      </w:r>
      <w:r w:rsidRPr="002B7483">
        <w:rPr>
          <w:rFonts w:cs="Times New Roman" w:hint="eastAsia"/>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sidR="001D5F22">
        <w:rPr>
          <w:rFonts w:cs="Times New Roman"/>
          <w:b/>
          <w:bCs/>
          <w:sz w:val="24"/>
          <w:lang w:val="en-GB"/>
        </w:rPr>
        <w:t xml:space="preserve">  </w:t>
      </w:r>
      <w:r>
        <w:rPr>
          <w:rFonts w:cs="Times New Roman"/>
          <w:b/>
          <w:bCs/>
          <w:sz w:val="24"/>
          <w:lang w:val="en-GB"/>
        </w:rPr>
        <w:t xml:space="preserve"> </w:t>
      </w:r>
      <w:r w:rsidR="00B41ECC" w:rsidRPr="00B41ECC">
        <w:rPr>
          <w:rFonts w:cs="Times New Roman"/>
          <w:b/>
          <w:bCs/>
          <w:sz w:val="24"/>
          <w:lang w:val="en-GB"/>
        </w:rPr>
        <w:t>R2-2312197</w:t>
      </w:r>
    </w:p>
    <w:bookmarkEnd w:id="0"/>
    <w:bookmarkEnd w:id="1"/>
    <w:p w14:paraId="72DC75CC" w14:textId="77777777" w:rsidR="00380E22" w:rsidRPr="00FA58D0" w:rsidRDefault="000670D1" w:rsidP="00380E22">
      <w:pPr>
        <w:tabs>
          <w:tab w:val="left" w:pos="1820"/>
        </w:tabs>
        <w:spacing w:beforeLines="0" w:before="0" w:afterLines="0" w:after="60"/>
        <w:rPr>
          <w:rFonts w:cs="Times New Roman"/>
          <w:b/>
          <w:bCs/>
          <w:sz w:val="24"/>
          <w:lang w:val="en-GB"/>
        </w:rPr>
      </w:pPr>
      <w:r w:rsidRPr="00356E67">
        <w:rPr>
          <w:rFonts w:cs="Times New Roman"/>
          <w:b/>
          <w:bCs/>
          <w:sz w:val="24"/>
          <w:lang w:val="en-GB"/>
        </w:rPr>
        <w:t>Chicago, USA, Nov. 13</w:t>
      </w:r>
      <w:r w:rsidRPr="00356E67">
        <w:rPr>
          <w:rFonts w:cs="Times New Roman"/>
          <w:b/>
          <w:bCs/>
          <w:sz w:val="24"/>
          <w:vertAlign w:val="superscript"/>
          <w:lang w:val="en-GB"/>
        </w:rPr>
        <w:t>th</w:t>
      </w:r>
      <w:r w:rsidRPr="00356E67">
        <w:rPr>
          <w:rFonts w:cs="Times New Roman"/>
          <w:b/>
          <w:bCs/>
          <w:sz w:val="24"/>
          <w:lang w:val="en-GB"/>
        </w:rPr>
        <w:t xml:space="preserve"> – 17</w:t>
      </w:r>
      <w:r w:rsidRPr="00356E67">
        <w:rPr>
          <w:rFonts w:cs="Times New Roman"/>
          <w:b/>
          <w:bCs/>
          <w:sz w:val="24"/>
          <w:vertAlign w:val="superscript"/>
          <w:lang w:val="en-GB"/>
        </w:rPr>
        <w:t>th</w:t>
      </w:r>
      <w:r w:rsidRPr="00356E67">
        <w:rPr>
          <w:rFonts w:cs="Times New Roman"/>
          <w:b/>
          <w:bCs/>
          <w:sz w:val="24"/>
          <w:lang w:val="en-GB"/>
        </w:rPr>
        <w:t>, 2023</w:t>
      </w:r>
      <w:r w:rsidR="00380E22" w:rsidRPr="00FA58D0">
        <w:rPr>
          <w:rFonts w:cs="Times New Roman"/>
          <w:b/>
          <w:bCs/>
          <w:sz w:val="24"/>
          <w:lang w:val="en-GB"/>
        </w:rPr>
        <w:t xml:space="preserve"> </w:t>
      </w:r>
    </w:p>
    <w:p w14:paraId="0EA008AD" w14:textId="77777777" w:rsidR="0025431F" w:rsidRPr="00B41ECC" w:rsidRDefault="0025431F" w:rsidP="0025431F">
      <w:pPr>
        <w:tabs>
          <w:tab w:val="left" w:pos="1820"/>
        </w:tabs>
        <w:spacing w:beforeLines="0" w:before="0" w:afterLines="0" w:after="60"/>
        <w:rPr>
          <w:rFonts w:eastAsia="宋体" w:cs="Times New Roman"/>
          <w:b/>
          <w:sz w:val="24"/>
          <w:szCs w:val="24"/>
          <w:lang w:val="en-GB"/>
        </w:rPr>
      </w:pPr>
    </w:p>
    <w:p w14:paraId="2C79882D" w14:textId="77777777" w:rsidR="0025431F" w:rsidRPr="00FA58D0" w:rsidRDefault="0025431F" w:rsidP="0025431F">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2" w:name="OLE_LINK6"/>
      <w:bookmarkStart w:id="3" w:name="OLE_LINK7"/>
      <w:r>
        <w:rPr>
          <w:rFonts w:eastAsia="宋体" w:cs="Times New Roman"/>
          <w:b/>
          <w:sz w:val="24"/>
          <w:szCs w:val="24"/>
        </w:rPr>
        <w:t>7</w:t>
      </w:r>
      <w:r w:rsidRPr="007A7E19">
        <w:rPr>
          <w:rFonts w:eastAsia="宋体" w:cs="Times New Roman" w:hint="eastAsia"/>
          <w:b/>
          <w:sz w:val="24"/>
          <w:szCs w:val="24"/>
        </w:rPr>
        <w:t>.8.2</w:t>
      </w:r>
      <w:r w:rsidRPr="00FA58D0">
        <w:rPr>
          <w:rFonts w:eastAsia="宋体" w:cs="Times New Roman"/>
          <w:b/>
          <w:sz w:val="24"/>
          <w:szCs w:val="24"/>
          <w:lang w:val="en-AU"/>
        </w:rPr>
        <w:t xml:space="preserve"> </w:t>
      </w:r>
      <w:bookmarkStart w:id="4" w:name="_GoBack"/>
      <w:bookmarkEnd w:id="4"/>
    </w:p>
    <w:p w14:paraId="4D69EA15" w14:textId="77777777" w:rsidR="0025431F" w:rsidRPr="00FA58D0" w:rsidRDefault="0025431F" w:rsidP="0025431F">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3460942" w14:textId="77777777" w:rsidR="0025431F" w:rsidRPr="00694E8E" w:rsidRDefault="0025431F" w:rsidP="0025431F">
      <w:pPr>
        <w:tabs>
          <w:tab w:val="left" w:pos="1820"/>
        </w:tabs>
        <w:spacing w:before="156" w:after="156"/>
        <w:rPr>
          <w:rFonts w:eastAsia="宋体" w:cs="Times New Roman"/>
          <w:b/>
          <w:bCs/>
          <w:sz w:val="24"/>
          <w:szCs w:val="24"/>
          <w:lang w:val="en-AU"/>
        </w:rPr>
      </w:pPr>
      <w:r w:rsidRPr="00FA58D0">
        <w:rPr>
          <w:rFonts w:eastAsia="宋体" w:cs="Times New Roman"/>
          <w:b/>
          <w:sz w:val="24"/>
          <w:szCs w:val="24"/>
          <w:lang w:val="en-AU"/>
        </w:rPr>
        <w:t>Title:</w:t>
      </w:r>
      <w:r w:rsidRPr="00FA58D0">
        <w:rPr>
          <w:rFonts w:eastAsia="宋体" w:cs="Times New Roman"/>
          <w:b/>
          <w:bCs/>
          <w:sz w:val="24"/>
          <w:szCs w:val="24"/>
          <w:lang w:val="en-AU"/>
        </w:rPr>
        <w:tab/>
      </w:r>
      <w:r w:rsidR="002D15D3">
        <w:rPr>
          <w:rFonts w:eastAsia="宋体" w:cs="Times New Roman"/>
          <w:b/>
          <w:bCs/>
          <w:sz w:val="24"/>
          <w:szCs w:val="24"/>
        </w:rPr>
        <w:t xml:space="preserve">Remaining </w:t>
      </w:r>
      <w:r w:rsidR="0032046D">
        <w:rPr>
          <w:rFonts w:eastAsia="宋体" w:cs="Times New Roman"/>
          <w:b/>
          <w:bCs/>
          <w:sz w:val="24"/>
          <w:szCs w:val="24"/>
        </w:rPr>
        <w:t>I</w:t>
      </w:r>
      <w:r w:rsidR="002D15D3">
        <w:rPr>
          <w:rFonts w:eastAsia="宋体" w:cs="Times New Roman"/>
          <w:b/>
          <w:bCs/>
          <w:sz w:val="24"/>
          <w:szCs w:val="24"/>
        </w:rPr>
        <w:t>ssues</w:t>
      </w:r>
      <w:r w:rsidRPr="008A1896">
        <w:rPr>
          <w:rFonts w:eastAsia="宋体" w:cs="Times New Roman" w:hint="eastAsia"/>
          <w:b/>
          <w:bCs/>
          <w:sz w:val="24"/>
          <w:szCs w:val="24"/>
        </w:rPr>
        <w:t xml:space="preserve"> on Measurement Reports Enhancements</w:t>
      </w:r>
    </w:p>
    <w:bookmarkEnd w:id="2"/>
    <w:bookmarkEnd w:id="3"/>
    <w:p w14:paraId="60DE1CD0" w14:textId="77777777" w:rsidR="0025431F" w:rsidRPr="00FA58D0" w:rsidRDefault="0025431F" w:rsidP="0025431F">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14:paraId="440450DF" w14:textId="77777777" w:rsidR="0025431F" w:rsidRPr="00FA58D0" w:rsidRDefault="0025431F" w:rsidP="0025431F">
      <w:pPr>
        <w:pStyle w:val="1"/>
        <w:numPr>
          <w:ilvl w:val="0"/>
          <w:numId w:val="1"/>
        </w:numPr>
        <w:spacing w:before="156" w:after="156"/>
        <w:rPr>
          <w:rFonts w:eastAsia="宋体"/>
          <w:sz w:val="28"/>
          <w:szCs w:val="28"/>
        </w:rPr>
      </w:pPr>
      <w:r w:rsidRPr="00FA58D0">
        <w:rPr>
          <w:rFonts w:eastAsia="宋体"/>
          <w:sz w:val="28"/>
          <w:szCs w:val="28"/>
        </w:rPr>
        <w:t>Introduction</w:t>
      </w:r>
    </w:p>
    <w:p w14:paraId="749F57C5" w14:textId="77777777" w:rsidR="0025431F" w:rsidRPr="0010706A" w:rsidRDefault="0025431F" w:rsidP="0025431F">
      <w:pPr>
        <w:spacing w:before="156" w:after="156"/>
      </w:pPr>
      <w:r>
        <w:t>In RAN2#12</w:t>
      </w:r>
      <w:r w:rsidR="00F656F3">
        <w:t>3</w:t>
      </w:r>
      <w:r w:rsidR="0094148D">
        <w:t>bis</w:t>
      </w:r>
      <w:r>
        <w:t xml:space="preserve"> </w:t>
      </w:r>
      <w:r w:rsidRPr="0010706A">
        <w:t>the below agreements were made [1]:</w:t>
      </w:r>
    </w:p>
    <w:tbl>
      <w:tblPr>
        <w:tblStyle w:val="ab"/>
        <w:tblW w:w="0" w:type="auto"/>
        <w:tblInd w:w="0" w:type="dxa"/>
        <w:tblLook w:val="04A0" w:firstRow="1" w:lastRow="0" w:firstColumn="1" w:lastColumn="0" w:noHBand="0" w:noVBand="1"/>
      </w:tblPr>
      <w:tblGrid>
        <w:gridCol w:w="9346"/>
      </w:tblGrid>
      <w:tr w:rsidR="0025431F" w14:paraId="00A2C0E5" w14:textId="77777777" w:rsidTr="006F0DED">
        <w:tc>
          <w:tcPr>
            <w:tcW w:w="9346" w:type="dxa"/>
          </w:tcPr>
          <w:p w14:paraId="1FF71BD3" w14:textId="77777777" w:rsidR="00B55317" w:rsidRPr="00B55317" w:rsidRDefault="00B55317" w:rsidP="00B55317">
            <w:pPr>
              <w:pStyle w:val="a3"/>
              <w:numPr>
                <w:ilvl w:val="0"/>
                <w:numId w:val="24"/>
              </w:numPr>
              <w:spacing w:before="120" w:after="120"/>
              <w:ind w:firstLineChars="0"/>
              <w:rPr>
                <w:rStyle w:val="af0"/>
                <w:i w:val="0"/>
                <w:lang w:val="en-US"/>
              </w:rPr>
            </w:pPr>
            <w:r w:rsidRPr="00B55317">
              <w:rPr>
                <w:rStyle w:val="af0"/>
                <w:i w:val="0"/>
                <w:lang w:val="en-US"/>
              </w:rPr>
              <w:t xml:space="preserve">The altitude from -420m to 1k above mt. Everest (i.e. ~10km) with 2m granularity.  </w:t>
            </w:r>
          </w:p>
          <w:p w14:paraId="65F33FD9" w14:textId="77777777" w:rsidR="00B55317" w:rsidRPr="00B55317" w:rsidRDefault="00B55317" w:rsidP="00B55317">
            <w:pPr>
              <w:pStyle w:val="a3"/>
              <w:numPr>
                <w:ilvl w:val="0"/>
                <w:numId w:val="24"/>
              </w:numPr>
              <w:spacing w:before="120" w:after="120"/>
              <w:ind w:firstLineChars="0"/>
              <w:rPr>
                <w:rStyle w:val="af0"/>
                <w:i w:val="0"/>
                <w:lang w:val="en-US"/>
              </w:rPr>
            </w:pPr>
            <w:r w:rsidRPr="00B55317">
              <w:rPr>
                <w:rStyle w:val="af0"/>
                <w:i w:val="0"/>
                <w:lang w:val="en-US"/>
              </w:rPr>
              <w:t>The maximum number of height ranges can be 8</w:t>
            </w:r>
          </w:p>
          <w:p w14:paraId="3FE54BA3" w14:textId="77777777" w:rsidR="00B55317" w:rsidRPr="00B55317" w:rsidRDefault="00B55317" w:rsidP="00B55317">
            <w:pPr>
              <w:pStyle w:val="a3"/>
              <w:numPr>
                <w:ilvl w:val="0"/>
                <w:numId w:val="24"/>
              </w:numPr>
              <w:spacing w:before="120" w:after="120"/>
              <w:ind w:firstLineChars="0"/>
              <w:rPr>
                <w:rStyle w:val="af0"/>
                <w:i w:val="0"/>
                <w:lang w:val="en-US"/>
              </w:rPr>
            </w:pPr>
            <w:r w:rsidRPr="00B55317">
              <w:rPr>
                <w:rStyle w:val="af0"/>
                <w:i w:val="0"/>
                <w:lang w:val="en-US"/>
              </w:rPr>
              <w:t>Hysteresis is 1m granularity.  Value range for h1-Hysteresis, h2-Hystereris, heightHyst is 1m to 64m.</w:t>
            </w:r>
          </w:p>
          <w:p w14:paraId="5A9383F4" w14:textId="77777777" w:rsidR="00B55317" w:rsidRPr="00B55317" w:rsidRDefault="00B55317" w:rsidP="00B55317">
            <w:pPr>
              <w:pStyle w:val="a3"/>
              <w:numPr>
                <w:ilvl w:val="0"/>
                <w:numId w:val="24"/>
              </w:numPr>
              <w:spacing w:before="120" w:after="120"/>
              <w:ind w:firstLineChars="0"/>
              <w:rPr>
                <w:rStyle w:val="af0"/>
                <w:i w:val="0"/>
                <w:lang w:val="en-US"/>
              </w:rPr>
            </w:pPr>
            <w:r w:rsidRPr="00B55317">
              <w:rPr>
                <w:rStyle w:val="af0"/>
                <w:i w:val="0"/>
                <w:lang w:val="en-US"/>
              </w:rPr>
              <w:t xml:space="preserve">It is up to network implementation how to configure height range and hysteresis  </w:t>
            </w:r>
          </w:p>
          <w:p w14:paraId="683A1C60" w14:textId="77777777" w:rsidR="00B55317" w:rsidRPr="00B55317" w:rsidRDefault="00B55317" w:rsidP="00B55317">
            <w:pPr>
              <w:pStyle w:val="a3"/>
              <w:numPr>
                <w:ilvl w:val="0"/>
                <w:numId w:val="24"/>
              </w:numPr>
              <w:spacing w:before="120" w:after="120"/>
              <w:ind w:firstLineChars="0"/>
              <w:rPr>
                <w:rStyle w:val="af0"/>
                <w:i w:val="0"/>
                <w:lang w:val="en-US"/>
              </w:rPr>
            </w:pPr>
            <w:r w:rsidRPr="00B55317">
              <w:rPr>
                <w:rStyle w:val="af0"/>
                <w:i w:val="0"/>
                <w:lang w:val="en-US"/>
              </w:rPr>
              <w:t>The height range configurations in ssb-toMeasure and AxHy are independent.</w:t>
            </w:r>
          </w:p>
          <w:p w14:paraId="185F8EEE" w14:textId="77777777" w:rsidR="00B55317" w:rsidRPr="00B55317" w:rsidRDefault="00B55317" w:rsidP="00B55317">
            <w:pPr>
              <w:pStyle w:val="a3"/>
              <w:numPr>
                <w:ilvl w:val="0"/>
                <w:numId w:val="24"/>
              </w:numPr>
              <w:spacing w:before="120" w:after="120"/>
              <w:ind w:firstLineChars="0"/>
              <w:rPr>
                <w:rStyle w:val="af0"/>
                <w:i w:val="0"/>
                <w:lang w:val="en-US"/>
              </w:rPr>
            </w:pPr>
            <w:r w:rsidRPr="00B55317">
              <w:rPr>
                <w:rStyle w:val="af0"/>
                <w:i w:val="0"/>
                <w:lang w:val="en-US"/>
              </w:rPr>
              <w:t>FFS UE behavior with respect to cell list is already clear when it switches to a new height range in either SSB to Measure or in eventAxHy (in rapporteur CR email discussion)</w:t>
            </w:r>
          </w:p>
          <w:p w14:paraId="24FB0433" w14:textId="77777777" w:rsidR="00B55317" w:rsidRPr="00B55317" w:rsidRDefault="00B55317" w:rsidP="00B55317">
            <w:pPr>
              <w:pStyle w:val="a3"/>
              <w:numPr>
                <w:ilvl w:val="0"/>
                <w:numId w:val="24"/>
              </w:numPr>
              <w:spacing w:before="120" w:after="120"/>
              <w:ind w:firstLineChars="0"/>
              <w:rPr>
                <w:rStyle w:val="af0"/>
                <w:i w:val="0"/>
                <w:lang w:val="en-US"/>
              </w:rPr>
            </w:pPr>
            <w:r w:rsidRPr="00B55317">
              <w:rPr>
                <w:rStyle w:val="af0"/>
                <w:i w:val="0"/>
                <w:lang w:val="en-US"/>
              </w:rPr>
              <w:t>Regardless of whether the measurement object is associated with report configuration including numberOfTriggeringCells, UE measures height dependent SSBs for the current height (If any SSB-ToMeasure is not configured, UE measures all SS blocks as a legacy operation)</w:t>
            </w:r>
          </w:p>
          <w:p w14:paraId="4CDCD3CC" w14:textId="77777777" w:rsidR="00B55317" w:rsidRPr="00B55317" w:rsidRDefault="00B55317" w:rsidP="00B55317">
            <w:pPr>
              <w:pStyle w:val="a3"/>
              <w:numPr>
                <w:ilvl w:val="0"/>
                <w:numId w:val="24"/>
              </w:numPr>
              <w:spacing w:before="120" w:after="120"/>
              <w:ind w:firstLineChars="0"/>
              <w:rPr>
                <w:rStyle w:val="af0"/>
                <w:i w:val="0"/>
                <w:lang w:val="en-US"/>
              </w:rPr>
            </w:pPr>
            <w:r w:rsidRPr="00B55317">
              <w:rPr>
                <w:rStyle w:val="af0"/>
                <w:i w:val="0"/>
                <w:lang w:val="en-US"/>
              </w:rPr>
              <w:t>height based ssb-toMeasure configuration for IDLE/INACTIVE will not be support in Rel-18</w:t>
            </w:r>
          </w:p>
          <w:p w14:paraId="4EB60696" w14:textId="77777777" w:rsidR="00B55317" w:rsidRPr="00B55317" w:rsidRDefault="00B55317" w:rsidP="00B55317">
            <w:pPr>
              <w:pStyle w:val="a3"/>
              <w:numPr>
                <w:ilvl w:val="0"/>
                <w:numId w:val="24"/>
              </w:numPr>
              <w:spacing w:before="120" w:after="120"/>
              <w:ind w:firstLineChars="0"/>
              <w:rPr>
                <w:rStyle w:val="af0"/>
                <w:i w:val="0"/>
                <w:lang w:val="en-US"/>
              </w:rPr>
            </w:pPr>
            <w:r w:rsidRPr="00B55317">
              <w:rPr>
                <w:rStyle w:val="af0"/>
                <w:i w:val="0"/>
                <w:lang w:val="en-US"/>
              </w:rPr>
              <w:t>Prohibit timer will not be supported</w:t>
            </w:r>
          </w:p>
          <w:p w14:paraId="38277B4A" w14:textId="77777777" w:rsidR="00B55317" w:rsidRPr="00B55317" w:rsidRDefault="00B55317" w:rsidP="00B55317">
            <w:pPr>
              <w:pStyle w:val="a3"/>
              <w:numPr>
                <w:ilvl w:val="0"/>
                <w:numId w:val="24"/>
              </w:numPr>
              <w:spacing w:before="120" w:after="120"/>
              <w:ind w:firstLineChars="0"/>
              <w:rPr>
                <w:rStyle w:val="af0"/>
                <w:i w:val="0"/>
                <w:lang w:val="en-US"/>
              </w:rPr>
            </w:pPr>
            <w:r w:rsidRPr="00B55317">
              <w:rPr>
                <w:rStyle w:val="af0"/>
                <w:i w:val="0"/>
                <w:lang w:val="en-US"/>
              </w:rPr>
              <w:t>RSRP/RSRQ measurements will always be reported with height reporting (as currently it is mandatory)</w:t>
            </w:r>
          </w:p>
          <w:p w14:paraId="5DB194B5" w14:textId="77777777" w:rsidR="0025431F" w:rsidRPr="00B55317" w:rsidRDefault="00B55317" w:rsidP="00B55317">
            <w:pPr>
              <w:pStyle w:val="a3"/>
              <w:numPr>
                <w:ilvl w:val="0"/>
                <w:numId w:val="24"/>
              </w:numPr>
              <w:spacing w:before="120" w:after="120"/>
              <w:ind w:firstLineChars="0"/>
              <w:rPr>
                <w:iCs/>
                <w:lang w:val="en-US"/>
              </w:rPr>
            </w:pPr>
            <w:r w:rsidRPr="00B55317">
              <w:rPr>
                <w:rStyle w:val="af0"/>
                <w:i w:val="0"/>
                <w:lang w:val="en-US"/>
              </w:rPr>
              <w:t>Similar to all other event triggers in NR, allow reportOnLeave and timeToTrigger configuration for all newly introduced events (already captured in the running CR)</w:t>
            </w:r>
          </w:p>
        </w:tc>
      </w:tr>
    </w:tbl>
    <w:p w14:paraId="7ECEBC32" w14:textId="77777777" w:rsidR="0025431F" w:rsidRPr="00FA58D0" w:rsidRDefault="0025431F" w:rsidP="0025431F">
      <w:pPr>
        <w:spacing w:before="156" w:after="156"/>
      </w:pPr>
      <w:r w:rsidRPr="004F2A70">
        <w:t xml:space="preserve">This </w:t>
      </w:r>
      <w:r>
        <w:t>contribution</w:t>
      </w:r>
      <w:r w:rsidRPr="004F2A70">
        <w:t xml:space="preserve"> provides our considerations on </w:t>
      </w:r>
      <w:r w:rsidRPr="000D2549">
        <w:t>measurement reports</w:t>
      </w:r>
      <w:r w:rsidRPr="0065473B">
        <w:t xml:space="preserve"> </w:t>
      </w:r>
      <w:r w:rsidRPr="000D2549">
        <w:t>enhancements</w:t>
      </w:r>
      <w:r>
        <w:t xml:space="preserve">. </w:t>
      </w:r>
    </w:p>
    <w:p w14:paraId="5C16D468" w14:textId="77777777" w:rsidR="0025431F" w:rsidRDefault="0025431F" w:rsidP="0025431F">
      <w:pPr>
        <w:pStyle w:val="1"/>
        <w:numPr>
          <w:ilvl w:val="0"/>
          <w:numId w:val="1"/>
        </w:numPr>
        <w:spacing w:before="156" w:after="156"/>
        <w:rPr>
          <w:rFonts w:eastAsia="宋体"/>
          <w:sz w:val="28"/>
          <w:szCs w:val="28"/>
        </w:rPr>
      </w:pPr>
      <w:r w:rsidRPr="00FA58D0">
        <w:rPr>
          <w:rFonts w:eastAsia="宋体"/>
          <w:sz w:val="28"/>
          <w:szCs w:val="28"/>
        </w:rPr>
        <w:t>Discussion</w:t>
      </w:r>
    </w:p>
    <w:p w14:paraId="72DF841A" w14:textId="77777777" w:rsidR="0025431F" w:rsidRDefault="0025431F" w:rsidP="0025431F">
      <w:pPr>
        <w:pStyle w:val="2"/>
        <w:spacing w:before="156"/>
        <w:ind w:right="200"/>
        <w:rPr>
          <w:rStyle w:val="af0"/>
          <w:i w:val="0"/>
        </w:rPr>
      </w:pPr>
      <w:r>
        <w:rPr>
          <w:rStyle w:val="af0"/>
          <w:i w:val="0"/>
        </w:rPr>
        <w:t>H</w:t>
      </w:r>
      <w:r w:rsidRPr="00761DA5">
        <w:rPr>
          <w:rStyle w:val="af0"/>
          <w:i w:val="0"/>
        </w:rPr>
        <w:t>eight-depend</w:t>
      </w:r>
      <w:r>
        <w:rPr>
          <w:rStyle w:val="af0"/>
          <w:i w:val="0"/>
        </w:rPr>
        <w:t>ent adjustment</w:t>
      </w:r>
      <w:r w:rsidR="00287875">
        <w:rPr>
          <w:rStyle w:val="af0"/>
          <w:i w:val="0"/>
        </w:rPr>
        <w:t xml:space="preserve"> for MO parameters</w:t>
      </w:r>
    </w:p>
    <w:p w14:paraId="03DBCFFC" w14:textId="77777777" w:rsidR="00461A7E" w:rsidRDefault="00461A7E" w:rsidP="00461A7E">
      <w:pPr>
        <w:spacing w:before="156" w:after="156"/>
      </w:pPr>
      <w:r>
        <w:t>After receiving multiple SSB-ToMeasure for different height ranges</w:t>
      </w:r>
      <w:r>
        <w:rPr>
          <w:rFonts w:eastAsiaTheme="minorEastAsia"/>
        </w:rPr>
        <w:t xml:space="preserve"> </w:t>
      </w:r>
      <w:r>
        <w:t>from the network, UE may need to switch between different configurations due to</w:t>
      </w:r>
      <w:r w:rsidR="008345F9">
        <w:t xml:space="preserve"> vertical moving</w:t>
      </w:r>
      <w:r>
        <w:t xml:space="preserve"> </w:t>
      </w:r>
      <w:r w:rsidR="00BB0E0B">
        <w:t>hence</w:t>
      </w:r>
      <w:r w:rsidR="00236822">
        <w:t xml:space="preserve"> </w:t>
      </w:r>
      <w:r>
        <w:t xml:space="preserve">how </w:t>
      </w:r>
      <w:r w:rsidR="003433FF">
        <w:t>to prevent ping-</w:t>
      </w:r>
      <w:r w:rsidRPr="00FF6A79">
        <w:t>pong</w:t>
      </w:r>
      <w:r>
        <w:t xml:space="preserve"> should be considered.</w:t>
      </w:r>
    </w:p>
    <w:p w14:paraId="22C6B7D0" w14:textId="77777777" w:rsidR="00461A7E" w:rsidRDefault="008345F9" w:rsidP="00461A7E">
      <w:pPr>
        <w:spacing w:before="156" w:after="156"/>
        <w:rPr>
          <w:rFonts w:eastAsiaTheme="minorEastAsia"/>
        </w:rPr>
      </w:pPr>
      <w:r>
        <w:rPr>
          <w:rFonts w:eastAsiaTheme="minorEastAsia" w:hint="eastAsia"/>
        </w:rPr>
        <w:lastRenderedPageBreak/>
        <w:t>A</w:t>
      </w:r>
      <w:r>
        <w:rPr>
          <w:rFonts w:eastAsiaTheme="minorEastAsia"/>
        </w:rPr>
        <w:t xml:space="preserve"> method similar to </w:t>
      </w:r>
      <w:r w:rsidR="0077542F">
        <w:rPr>
          <w:rFonts w:eastAsiaTheme="minorEastAsia"/>
        </w:rPr>
        <w:t>t</w:t>
      </w:r>
      <w:r>
        <w:rPr>
          <w:rFonts w:eastAsiaTheme="minorEastAsia"/>
        </w:rPr>
        <w:t xml:space="preserve">imeToTrigger for </w:t>
      </w:r>
      <w:r w:rsidR="00470DFC">
        <w:rPr>
          <w:rFonts w:eastAsiaTheme="minorEastAsia"/>
        </w:rPr>
        <w:t>measurement event</w:t>
      </w:r>
      <w:r w:rsidR="00BB0E0B">
        <w:rPr>
          <w:rFonts w:eastAsiaTheme="minorEastAsia"/>
        </w:rPr>
        <w:t>s</w:t>
      </w:r>
      <w:r w:rsidR="00470DFC">
        <w:rPr>
          <w:rFonts w:eastAsiaTheme="minorEastAsia"/>
        </w:rPr>
        <w:t xml:space="preserve"> can </w:t>
      </w:r>
      <w:r w:rsidR="00BB0E0B">
        <w:rPr>
          <w:rFonts w:eastAsiaTheme="minorEastAsia"/>
        </w:rPr>
        <w:t xml:space="preserve">also </w:t>
      </w:r>
      <w:r w:rsidR="00470DFC">
        <w:rPr>
          <w:rFonts w:eastAsiaTheme="minorEastAsia"/>
        </w:rPr>
        <w:t>be used here</w:t>
      </w:r>
      <w:r w:rsidR="005F36E8">
        <w:rPr>
          <w:rFonts w:eastAsiaTheme="minorEastAsia"/>
        </w:rPr>
        <w:t xml:space="preserve">: for example, if </w:t>
      </w:r>
      <w:r w:rsidR="005F36E8" w:rsidRPr="005F36E8">
        <w:rPr>
          <w:rFonts w:eastAsiaTheme="minorEastAsia"/>
        </w:rPr>
        <w:t xml:space="preserve">UE </w:t>
      </w:r>
      <w:r w:rsidR="005F36E8">
        <w:rPr>
          <w:rFonts w:eastAsiaTheme="minorEastAsia"/>
        </w:rPr>
        <w:t>enters a configured height range which</w:t>
      </w:r>
      <w:r w:rsidR="005F36E8" w:rsidRPr="005F36E8">
        <w:rPr>
          <w:rFonts w:eastAsiaTheme="minorEastAsia"/>
        </w:rPr>
        <w:t xml:space="preserve"> </w:t>
      </w:r>
      <w:r w:rsidR="00170537">
        <w:rPr>
          <w:rFonts w:eastAsiaTheme="minorEastAsia"/>
        </w:rPr>
        <w:t>corresponds</w:t>
      </w:r>
      <w:r w:rsidR="0077542F">
        <w:rPr>
          <w:rFonts w:eastAsiaTheme="minorEastAsia"/>
        </w:rPr>
        <w:t xml:space="preserve"> </w:t>
      </w:r>
      <w:r w:rsidR="00170537">
        <w:rPr>
          <w:rFonts w:eastAsiaTheme="minorEastAsia"/>
        </w:rPr>
        <w:t>to</w:t>
      </w:r>
      <w:r w:rsidR="0077542F">
        <w:rPr>
          <w:rFonts w:eastAsiaTheme="minorEastAsia"/>
        </w:rPr>
        <w:t xml:space="preserve"> a </w:t>
      </w:r>
      <w:r w:rsidR="005F36E8" w:rsidRPr="005F36E8">
        <w:rPr>
          <w:rFonts w:eastAsiaTheme="minorEastAsia"/>
        </w:rPr>
        <w:t xml:space="preserve">different </w:t>
      </w:r>
      <w:r w:rsidR="0077542F">
        <w:t>SSB-ToMeasure</w:t>
      </w:r>
      <w:r w:rsidR="0077542F" w:rsidRPr="005F36E8">
        <w:rPr>
          <w:rFonts w:eastAsiaTheme="minorEastAsia"/>
        </w:rPr>
        <w:t xml:space="preserve"> </w:t>
      </w:r>
      <w:r w:rsidR="0077542F">
        <w:rPr>
          <w:rFonts w:eastAsiaTheme="minorEastAsia"/>
        </w:rPr>
        <w:t xml:space="preserve">parameter </w:t>
      </w:r>
      <w:r w:rsidR="00170537">
        <w:rPr>
          <w:rFonts w:eastAsiaTheme="minorEastAsia"/>
        </w:rPr>
        <w:t>from</w:t>
      </w:r>
      <w:r w:rsidR="0077542F">
        <w:rPr>
          <w:rFonts w:eastAsiaTheme="minorEastAsia"/>
        </w:rPr>
        <w:t xml:space="preserve"> the one</w:t>
      </w:r>
      <w:r w:rsidR="005F36E8" w:rsidRPr="005F36E8">
        <w:rPr>
          <w:rFonts w:eastAsiaTheme="minorEastAsia"/>
        </w:rPr>
        <w:t xml:space="preserve"> </w:t>
      </w:r>
      <w:r w:rsidR="004D6E09">
        <w:rPr>
          <w:rFonts w:eastAsiaTheme="minorEastAsia"/>
        </w:rPr>
        <w:t xml:space="preserve">used </w:t>
      </w:r>
      <w:r w:rsidR="005F36E8" w:rsidRPr="005F36E8">
        <w:rPr>
          <w:rFonts w:eastAsiaTheme="minorEastAsia"/>
        </w:rPr>
        <w:t xml:space="preserve">previously for </w:t>
      </w:r>
      <w:r w:rsidR="0077542F">
        <w:rPr>
          <w:rFonts w:eastAsiaTheme="minorEastAsia"/>
        </w:rPr>
        <w:t xml:space="preserve">a </w:t>
      </w:r>
      <w:r w:rsidR="005F36E8" w:rsidRPr="005F36E8">
        <w:rPr>
          <w:rFonts w:eastAsiaTheme="minorEastAsia"/>
        </w:rPr>
        <w:t xml:space="preserve">period </w:t>
      </w:r>
      <w:r w:rsidR="0077542F">
        <w:rPr>
          <w:rFonts w:eastAsiaTheme="minorEastAsia"/>
        </w:rPr>
        <w:t>time</w:t>
      </w:r>
      <w:r w:rsidR="00F321EA">
        <w:rPr>
          <w:rFonts w:eastAsiaTheme="minorEastAsia"/>
        </w:rPr>
        <w:t xml:space="preserve">, UE switch the </w:t>
      </w:r>
      <w:r w:rsidR="005B04A4">
        <w:t>SSB-ToMeasure</w:t>
      </w:r>
      <w:r w:rsidR="00F321EA">
        <w:rPr>
          <w:rFonts w:eastAsiaTheme="minorEastAsia"/>
        </w:rPr>
        <w:t xml:space="preserve"> parameter.</w:t>
      </w:r>
    </w:p>
    <w:p w14:paraId="3C86620E" w14:textId="77777777" w:rsidR="003D6BD9" w:rsidRPr="003D6BD9" w:rsidRDefault="00A26AE4" w:rsidP="00413CCC">
      <w:pPr>
        <w:pStyle w:val="1st-Proposal-YJ"/>
        <w:spacing w:before="156" w:after="156"/>
        <w:rPr>
          <w:rFonts w:eastAsiaTheme="minorEastAsia"/>
        </w:rPr>
      </w:pPr>
      <w:bookmarkStart w:id="5" w:name="_Toc146188720"/>
      <w:bookmarkStart w:id="6" w:name="_Toc146188724"/>
      <w:bookmarkStart w:id="7" w:name="_Toc146199404"/>
      <w:bookmarkStart w:id="8" w:name="_Toc146199408"/>
      <w:bookmarkStart w:id="9" w:name="_Toc146199412"/>
      <w:bookmarkStart w:id="10" w:name="_Toc146199416"/>
      <w:bookmarkStart w:id="11" w:name="_Toc146200039"/>
      <w:bookmarkStart w:id="12" w:name="_Toc146200043"/>
      <w:bookmarkStart w:id="13" w:name="_Toc146203270"/>
      <w:bookmarkStart w:id="14" w:name="_Toc146203274"/>
      <w:bookmarkStart w:id="15" w:name="_Toc146801791"/>
      <w:bookmarkStart w:id="16" w:name="_Toc149046343"/>
      <w:bookmarkStart w:id="17" w:name="_Toc149050409"/>
      <w:bookmarkStart w:id="18" w:name="_Toc149050411"/>
      <w:bookmarkStart w:id="19" w:name="_Toc149050413"/>
      <w:bookmarkStart w:id="20" w:name="_Toc149050415"/>
      <w:bookmarkStart w:id="21" w:name="_Toc149050417"/>
      <w:bookmarkStart w:id="22" w:name="_Toc149050419"/>
      <w:bookmarkStart w:id="23" w:name="_Toc149050421"/>
      <w:bookmarkStart w:id="24" w:name="_Toc149050423"/>
      <w:bookmarkStart w:id="25" w:name="_Toc149050425"/>
      <w:r>
        <w:rPr>
          <w:rFonts w:eastAsiaTheme="minorEastAsia"/>
        </w:rPr>
        <w:t xml:space="preserve">Apply </w:t>
      </w:r>
      <w:r w:rsidR="003E5B44">
        <w:rPr>
          <w:rFonts w:eastAsiaTheme="minorEastAsia"/>
        </w:rPr>
        <w:t>t</w:t>
      </w:r>
      <w:r>
        <w:rPr>
          <w:rFonts w:eastAsiaTheme="minorEastAsia"/>
        </w:rPr>
        <w:t xml:space="preserve">imeToTrigger mechanism </w:t>
      </w:r>
      <w:r w:rsidR="00BB0E0B">
        <w:rPr>
          <w:rFonts w:eastAsiaTheme="minorEastAsia"/>
        </w:rPr>
        <w:t>to</w:t>
      </w:r>
      <w:r>
        <w:rPr>
          <w:rFonts w:eastAsiaTheme="minorEastAsia"/>
        </w:rPr>
        <w:t xml:space="preserve"> height-dependent SSB-ToMeasure</w:t>
      </w:r>
      <w:r w:rsidR="00BB0E0B">
        <w:rPr>
          <w:rFonts w:eastAsiaTheme="minorEastAsia"/>
        </w:rPr>
        <w:t xml:space="preserve"> parameter switching</w:t>
      </w:r>
      <w:r>
        <w:rPr>
          <w:rFonts w:eastAsiaTheme="minorEastAsia"/>
        </w:rPr>
        <w:t xml:space="preserve">: if </w:t>
      </w:r>
      <w:r w:rsidRPr="005F36E8">
        <w:rPr>
          <w:rFonts w:eastAsiaTheme="minorEastAsia"/>
        </w:rPr>
        <w:t xml:space="preserve">UE </w:t>
      </w:r>
      <w:r>
        <w:rPr>
          <w:rFonts w:eastAsiaTheme="minorEastAsia"/>
        </w:rPr>
        <w:t>enters a configured height range which</w:t>
      </w:r>
      <w:r w:rsidRPr="005F36E8">
        <w:rPr>
          <w:rFonts w:eastAsiaTheme="minorEastAsia"/>
        </w:rPr>
        <w:t xml:space="preserve"> </w:t>
      </w:r>
      <w:r>
        <w:rPr>
          <w:rFonts w:eastAsiaTheme="minorEastAsia"/>
        </w:rPr>
        <w:t xml:space="preserve">corresponds to a </w:t>
      </w:r>
      <w:r w:rsidRPr="005F36E8">
        <w:rPr>
          <w:rFonts w:eastAsiaTheme="minorEastAsia"/>
        </w:rPr>
        <w:t xml:space="preserve">different </w:t>
      </w:r>
      <w:r>
        <w:t>SSB-ToMeasure</w:t>
      </w:r>
      <w:r w:rsidRPr="005F36E8">
        <w:rPr>
          <w:rFonts w:eastAsiaTheme="minorEastAsia"/>
        </w:rPr>
        <w:t xml:space="preserve"> </w:t>
      </w:r>
      <w:r>
        <w:rPr>
          <w:rFonts w:eastAsiaTheme="minorEastAsia"/>
        </w:rPr>
        <w:t>parameter from the one</w:t>
      </w:r>
      <w:r w:rsidRPr="005F36E8">
        <w:rPr>
          <w:rFonts w:eastAsiaTheme="minorEastAsia"/>
        </w:rPr>
        <w:t xml:space="preserve"> </w:t>
      </w:r>
      <w:r>
        <w:rPr>
          <w:rFonts w:eastAsiaTheme="minorEastAsia"/>
        </w:rPr>
        <w:t xml:space="preserve">used </w:t>
      </w:r>
      <w:r w:rsidRPr="005F36E8">
        <w:rPr>
          <w:rFonts w:eastAsiaTheme="minorEastAsia"/>
        </w:rPr>
        <w:t xml:space="preserve">previously for </w:t>
      </w:r>
      <w:r>
        <w:rPr>
          <w:rFonts w:eastAsiaTheme="minorEastAsia"/>
        </w:rPr>
        <w:t xml:space="preserve">a </w:t>
      </w:r>
      <w:r w:rsidRPr="005F36E8">
        <w:rPr>
          <w:rFonts w:eastAsiaTheme="minorEastAsia"/>
        </w:rPr>
        <w:t xml:space="preserve">period </w:t>
      </w:r>
      <w:r>
        <w:rPr>
          <w:rFonts w:eastAsiaTheme="minorEastAsia"/>
        </w:rPr>
        <w:t xml:space="preserve">time, UE switch the </w:t>
      </w:r>
      <w:r>
        <w:t>SSB-ToMeasure</w:t>
      </w:r>
      <w:r>
        <w:rPr>
          <w:rFonts w:eastAsiaTheme="minorEastAsia"/>
        </w:rPr>
        <w:t xml:space="preserve"> parameter</w:t>
      </w:r>
      <w:bookmarkEnd w:id="5"/>
      <w:bookmarkEnd w:id="6"/>
      <w:r w:rsidR="00C6122D">
        <w:rPr>
          <w:rFonts w:eastAsiaTheme="minorEastAsia"/>
        </w:rPr>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A6C9578" w14:textId="77777777" w:rsidR="0025431F" w:rsidRDefault="003D6BD9" w:rsidP="0025431F">
      <w:pPr>
        <w:spacing w:before="156" w:after="156"/>
      </w:pPr>
      <w:r>
        <w:t>Another issue is that</w:t>
      </w:r>
      <w:r w:rsidR="00461A7E">
        <w:t xml:space="preserve"> network need to keep align with</w:t>
      </w:r>
      <w:r w:rsidR="00461A7E" w:rsidRPr="008F0400">
        <w:t xml:space="preserve"> </w:t>
      </w:r>
      <w:r w:rsidR="00461A7E">
        <w:t>UAV UE on what the actual configuration the UE currently uses.</w:t>
      </w:r>
      <w:bookmarkStart w:id="26" w:name="_Toc72163958"/>
      <w:bookmarkStart w:id="27" w:name="_Toc72164083"/>
      <w:bookmarkStart w:id="28" w:name="_Toc72164151"/>
      <w:bookmarkStart w:id="29" w:name="_Toc72164281"/>
      <w:bookmarkStart w:id="30" w:name="_Toc72166021"/>
      <w:bookmarkStart w:id="31" w:name="_Toc72166096"/>
      <w:bookmarkStart w:id="32" w:name="_Toc72166120"/>
      <w:bookmarkStart w:id="33" w:name="_Toc72166132"/>
      <w:bookmarkStart w:id="34" w:name="_Toc72166144"/>
      <w:bookmarkStart w:id="35" w:name="_Toc72166215"/>
      <w:bookmarkStart w:id="36" w:name="_Toc72166223"/>
      <w:bookmarkStart w:id="37" w:name="_Toc72764097"/>
      <w:bookmarkStart w:id="38" w:name="_Toc72764105"/>
      <w:bookmarkStart w:id="39" w:name="_Toc72764113"/>
      <w:bookmarkStart w:id="40" w:name="_Toc72764121"/>
      <w:r w:rsidR="00A26AE4">
        <w:rPr>
          <w:rFonts w:eastAsiaTheme="minorEastAsia"/>
        </w:rPr>
        <w:t xml:space="preserve"> </w:t>
      </w:r>
      <w:r w:rsidR="0025431F">
        <w:t>From our perspective, network can track the height of the UE roughly by height-dependent measurement reporting. Upon receiving the measurement report triggered by UE height, the network will know the altitude of the UAV UE so that it may also aware of the configuration the UAV UE applies. In that case, the measurement configuration switch need to occur based on the height-dependent measurement event or the threshold of the height-dependent measurement event need to be align with the height boundary of applying the measurement configuration switch.</w:t>
      </w:r>
    </w:p>
    <w:p w14:paraId="02AEE308" w14:textId="77777777" w:rsidR="0025431F" w:rsidRDefault="0025431F" w:rsidP="0025431F">
      <w:pPr>
        <w:spacing w:before="156" w:after="156"/>
      </w:pPr>
      <w:r>
        <w:t>Another way to keep the alignment is to explicitly report to the network upon switching between measurement configurations. E.g. Similar to what we have done in RLM/BFD measurement relaxation, which UE need to provide an indication to the NW upon change of its relaxation state for RLM/BFD measurements.</w:t>
      </w:r>
    </w:p>
    <w:p w14:paraId="0A48537F" w14:textId="77777777" w:rsidR="00CA0B16" w:rsidRPr="00FE2161" w:rsidRDefault="0025431F" w:rsidP="00CA0B16">
      <w:pPr>
        <w:pStyle w:val="1st-Proposal-YJ"/>
        <w:spacing w:before="156" w:after="156"/>
      </w:pPr>
      <w:bookmarkStart w:id="41" w:name="_Toc126830712"/>
      <w:bookmarkStart w:id="42" w:name="_Toc126832492"/>
      <w:bookmarkStart w:id="43" w:name="_Toc126832554"/>
      <w:bookmarkStart w:id="44" w:name="_Toc126939735"/>
      <w:bookmarkStart w:id="45" w:name="_Toc126940822"/>
      <w:bookmarkStart w:id="46" w:name="_Toc127456274"/>
      <w:bookmarkStart w:id="47" w:name="_Toc131064292"/>
      <w:bookmarkStart w:id="48" w:name="_Toc131435762"/>
      <w:bookmarkStart w:id="49" w:name="_Toc131520777"/>
      <w:bookmarkStart w:id="50" w:name="_Toc131689043"/>
      <w:bookmarkStart w:id="51" w:name="_Toc134449731"/>
      <w:bookmarkStart w:id="52" w:name="_Toc134449739"/>
      <w:bookmarkStart w:id="53" w:name="_Toc134449783"/>
      <w:bookmarkStart w:id="54" w:name="_Toc134452220"/>
      <w:bookmarkStart w:id="55" w:name="_Toc134452280"/>
      <w:bookmarkStart w:id="56" w:name="_Toc134452288"/>
      <w:bookmarkStart w:id="57" w:name="_Toc134455905"/>
      <w:bookmarkStart w:id="58" w:name="_Toc134455913"/>
      <w:bookmarkStart w:id="59" w:name="_Toc134455921"/>
      <w:bookmarkStart w:id="60" w:name="_Toc134455942"/>
      <w:bookmarkStart w:id="61" w:name="_Toc134455950"/>
      <w:bookmarkStart w:id="62" w:name="_Toc134455958"/>
      <w:bookmarkStart w:id="63" w:name="_Toc134456054"/>
      <w:bookmarkStart w:id="64" w:name="_Toc134456062"/>
      <w:bookmarkStart w:id="65" w:name="_Toc134456073"/>
      <w:bookmarkStart w:id="66" w:name="_Toc134781662"/>
      <w:bookmarkStart w:id="67" w:name="_Toc134781670"/>
      <w:bookmarkStart w:id="68" w:name="_Toc141717345"/>
      <w:bookmarkStart w:id="69" w:name="_Toc141717508"/>
      <w:bookmarkStart w:id="70" w:name="_Toc141717516"/>
      <w:bookmarkStart w:id="71" w:name="_Toc141717791"/>
      <w:bookmarkStart w:id="72" w:name="_Toc141717799"/>
      <w:bookmarkStart w:id="73" w:name="_Toc141781291"/>
      <w:bookmarkStart w:id="74" w:name="_Toc141781297"/>
      <w:bookmarkStart w:id="75" w:name="_Toc141781303"/>
      <w:bookmarkStart w:id="76" w:name="_Toc141781309"/>
      <w:bookmarkStart w:id="77" w:name="_Toc141781326"/>
      <w:bookmarkStart w:id="78" w:name="_Toc141781333"/>
      <w:bookmarkStart w:id="79" w:name="_Toc142483200"/>
      <w:bookmarkStart w:id="80" w:name="_Toc142483218"/>
      <w:bookmarkStart w:id="81" w:name="_Toc142483227"/>
      <w:bookmarkStart w:id="82" w:name="_Toc142483249"/>
      <w:bookmarkStart w:id="83" w:name="_Toc142483258"/>
      <w:bookmarkStart w:id="84" w:name="_Toc142483267"/>
      <w:bookmarkStart w:id="85" w:name="_Toc142483280"/>
      <w:bookmarkStart w:id="86" w:name="_Toc142483289"/>
      <w:bookmarkStart w:id="87" w:name="_Toc142483298"/>
      <w:bookmarkStart w:id="88" w:name="_Toc142483307"/>
      <w:bookmarkStart w:id="89" w:name="_Toc142483316"/>
      <w:bookmarkStart w:id="90" w:name="_Toc142483325"/>
      <w:bookmarkStart w:id="91" w:name="_Toc142483334"/>
      <w:bookmarkStart w:id="92" w:name="_Toc142483343"/>
      <w:bookmarkStart w:id="93" w:name="_Toc142556770"/>
      <w:bookmarkStart w:id="94" w:name="_Toc142556779"/>
      <w:bookmarkStart w:id="95" w:name="_Toc142556788"/>
      <w:bookmarkStart w:id="96" w:name="_Toc146120803"/>
      <w:bookmarkStart w:id="97" w:name="_Toc146120806"/>
      <w:bookmarkStart w:id="98" w:name="_Toc146188721"/>
      <w:bookmarkStart w:id="99" w:name="_Toc146188725"/>
      <w:bookmarkStart w:id="100" w:name="_Toc146199405"/>
      <w:bookmarkStart w:id="101" w:name="_Toc146199409"/>
      <w:bookmarkStart w:id="102" w:name="_Toc146199413"/>
      <w:bookmarkStart w:id="103" w:name="_Toc146199417"/>
      <w:bookmarkStart w:id="104" w:name="_Toc146200040"/>
      <w:bookmarkStart w:id="105" w:name="_Toc146200044"/>
      <w:bookmarkStart w:id="106" w:name="_Toc146203271"/>
      <w:bookmarkStart w:id="107" w:name="_Toc146203275"/>
      <w:bookmarkStart w:id="108" w:name="_Toc146801792"/>
      <w:bookmarkStart w:id="109" w:name="_Toc149046344"/>
      <w:bookmarkStart w:id="110" w:name="_Toc149050410"/>
      <w:bookmarkStart w:id="111" w:name="_Toc149050412"/>
      <w:bookmarkStart w:id="112" w:name="_Toc149050414"/>
      <w:bookmarkStart w:id="113" w:name="_Toc149050416"/>
      <w:bookmarkStart w:id="114" w:name="_Toc149050418"/>
      <w:bookmarkStart w:id="115" w:name="_Toc149050420"/>
      <w:bookmarkStart w:id="116" w:name="_Toc149050422"/>
      <w:bookmarkStart w:id="117" w:name="_Toc149050424"/>
      <w:bookmarkStart w:id="118" w:name="_Toc149050426"/>
      <w:r w:rsidRPr="005319B3">
        <w:rPr>
          <w:rFonts w:hint="eastAsia"/>
        </w:rPr>
        <w:t>RAN2 to discuss how to ensure that the measurement configuration used by the UAV UE is aligned between the UAV UE and the network (i.e., switch configuration</w:t>
      </w:r>
      <w:r>
        <w:t>s</w:t>
      </w:r>
      <w:r w:rsidRPr="005319B3">
        <w:rPr>
          <w:rFonts w:hint="eastAsia"/>
        </w:rPr>
        <w:t xml:space="preserve"> based on height-dependent measurement event or inform the network upon switch).</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7DFEC30" w14:textId="77777777" w:rsidR="00DC757A" w:rsidRPr="00DC757A" w:rsidRDefault="0025431F" w:rsidP="00DC757A">
      <w:pPr>
        <w:pStyle w:val="1"/>
        <w:numPr>
          <w:ilvl w:val="0"/>
          <w:numId w:val="1"/>
        </w:numPr>
        <w:spacing w:before="156" w:after="156"/>
        <w:rPr>
          <w:rFonts w:eastAsia="宋体"/>
          <w:sz w:val="28"/>
          <w:szCs w:val="28"/>
        </w:rPr>
      </w:pPr>
      <w:bookmarkStart w:id="119" w:name="_Toc77689036"/>
      <w:bookmarkStart w:id="120" w:name="_Toc77689047"/>
      <w:bookmarkStart w:id="121" w:name="_Toc77689058"/>
      <w:bookmarkStart w:id="122" w:name="_Toc77689069"/>
      <w:bookmarkStart w:id="123" w:name="_Toc77689080"/>
      <w:bookmarkStart w:id="124" w:name="_Toc77689091"/>
      <w:bookmarkStart w:id="125" w:name="_Toc77689102"/>
      <w:bookmarkStart w:id="126" w:name="_Toc77689113"/>
      <w:bookmarkStart w:id="127" w:name="_Toc7768912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119"/>
      <w:bookmarkEnd w:id="120"/>
      <w:bookmarkEnd w:id="121"/>
      <w:bookmarkEnd w:id="122"/>
      <w:bookmarkEnd w:id="123"/>
      <w:bookmarkEnd w:id="124"/>
      <w:bookmarkEnd w:id="125"/>
      <w:bookmarkEnd w:id="126"/>
      <w:bookmarkEnd w:id="127"/>
      <w:r w:rsidRPr="00FA58D0">
        <w:rPr>
          <w:rFonts w:eastAsia="宋体"/>
          <w:sz w:val="28"/>
          <w:szCs w:val="28"/>
        </w:rPr>
        <w:t>Conclusion</w:t>
      </w:r>
      <w:r>
        <w:rPr>
          <w:rFonts w:eastAsia="宋体"/>
          <w:sz w:val="28"/>
          <w:szCs w:val="28"/>
        </w:rPr>
        <w:fldChar w:fldCharType="begin"/>
      </w:r>
      <w:r w:rsidRPr="00DC757A">
        <w:rPr>
          <w:rFonts w:eastAsia="宋体"/>
          <w:sz w:val="28"/>
          <w:szCs w:val="28"/>
        </w:rPr>
        <w:instrText xml:space="preserve"> TOC \n \t "1st-Proposal-YJ,1,2nd-proposal-YJ,2,3nd-proposal-YJ,3"  \* MERGEFORMAT </w:instrText>
      </w:r>
      <w:r>
        <w:rPr>
          <w:rFonts w:eastAsia="宋体"/>
          <w:sz w:val="28"/>
          <w:szCs w:val="28"/>
        </w:rPr>
        <w:fldChar w:fldCharType="separate"/>
      </w:r>
    </w:p>
    <w:p w14:paraId="34749D2B" w14:textId="77777777" w:rsidR="00DC757A" w:rsidRDefault="00DC757A">
      <w:pPr>
        <w:pStyle w:val="11"/>
        <w:rPr>
          <w:rFonts w:asciiTheme="minorHAnsi" w:eastAsiaTheme="minorEastAsia" w:hAnsiTheme="minorHAnsi" w:cstheme="minorBidi"/>
          <w:b w:val="0"/>
          <w:i w:val="0"/>
          <w:noProof/>
          <w:sz w:val="21"/>
          <w:szCs w:val="22"/>
        </w:rPr>
      </w:pPr>
      <w:r w:rsidRPr="00472E87">
        <w:rPr>
          <w:rFonts w:eastAsia="宋体"/>
          <w:noProof/>
        </w:rPr>
        <w:t>Proposal 1:</w:t>
      </w:r>
      <w:r>
        <w:rPr>
          <w:rFonts w:asciiTheme="minorHAnsi" w:eastAsiaTheme="minorEastAsia" w:hAnsiTheme="minorHAnsi" w:cstheme="minorBidi"/>
          <w:b w:val="0"/>
          <w:i w:val="0"/>
          <w:noProof/>
          <w:sz w:val="21"/>
          <w:szCs w:val="22"/>
        </w:rPr>
        <w:tab/>
      </w:r>
      <w:r w:rsidRPr="00472E87">
        <w:rPr>
          <w:rFonts w:eastAsiaTheme="minorEastAsia"/>
          <w:noProof/>
        </w:rPr>
        <w:t xml:space="preserve">Apply timeToTrigger mechanism to height-dependent SSB-ToMeasure parameter switching: if UE enters a configured height range which corresponds to a different </w:t>
      </w:r>
      <w:r>
        <w:rPr>
          <w:noProof/>
        </w:rPr>
        <w:t>SSB-ToMeasure</w:t>
      </w:r>
      <w:r w:rsidRPr="00472E87">
        <w:rPr>
          <w:rFonts w:eastAsiaTheme="minorEastAsia"/>
          <w:noProof/>
        </w:rPr>
        <w:t xml:space="preserve"> parameter from the one used previously for a period time, UE switch the </w:t>
      </w:r>
      <w:r>
        <w:rPr>
          <w:noProof/>
        </w:rPr>
        <w:t>SSB-ToMeasure</w:t>
      </w:r>
      <w:r w:rsidRPr="00472E87">
        <w:rPr>
          <w:rFonts w:eastAsiaTheme="minorEastAsia"/>
          <w:noProof/>
        </w:rPr>
        <w:t xml:space="preserve"> parameter.</w:t>
      </w:r>
    </w:p>
    <w:p w14:paraId="78BE4925" w14:textId="77777777" w:rsidR="00DC757A" w:rsidRDefault="00DC757A">
      <w:pPr>
        <w:pStyle w:val="11"/>
        <w:rPr>
          <w:rFonts w:asciiTheme="minorHAnsi" w:eastAsiaTheme="minorEastAsia" w:hAnsiTheme="minorHAnsi" w:cstheme="minorBidi"/>
          <w:b w:val="0"/>
          <w:i w:val="0"/>
          <w:noProof/>
          <w:sz w:val="21"/>
          <w:szCs w:val="22"/>
        </w:rPr>
      </w:pPr>
      <w:r w:rsidRPr="00472E87">
        <w:rPr>
          <w:rFonts w:eastAsia="宋体"/>
          <w:noProof/>
        </w:rPr>
        <w:t>Proposal 2:</w:t>
      </w:r>
      <w:r>
        <w:rPr>
          <w:rFonts w:asciiTheme="minorHAnsi" w:eastAsiaTheme="minorEastAsia" w:hAnsiTheme="minorHAnsi" w:cstheme="minorBidi"/>
          <w:b w:val="0"/>
          <w:i w:val="0"/>
          <w:noProof/>
          <w:sz w:val="21"/>
          <w:szCs w:val="22"/>
        </w:rPr>
        <w:tab/>
      </w:r>
      <w:r>
        <w:rPr>
          <w:noProof/>
        </w:rPr>
        <w:t>RAN2 to discuss how to ensure that the measurement configuration used by the UAV UE is aligned between the UAV UE and the network (i.e., switch configurations based on height-dependent measurement event or inform the network upon switch).</w:t>
      </w:r>
    </w:p>
    <w:p w14:paraId="75F4782D" w14:textId="77777777" w:rsidR="0025431F" w:rsidRPr="00495931" w:rsidRDefault="0025431F" w:rsidP="0025431F">
      <w:pPr>
        <w:pStyle w:val="1"/>
        <w:numPr>
          <w:ilvl w:val="0"/>
          <w:numId w:val="1"/>
        </w:numPr>
        <w:spacing w:beforeLines="0" w:before="0" w:after="156"/>
        <w:rPr>
          <w:rFonts w:eastAsia="宋体"/>
          <w:sz w:val="28"/>
          <w:szCs w:val="28"/>
        </w:rPr>
      </w:pPr>
      <w:r>
        <w:rPr>
          <w:rFonts w:eastAsiaTheme="minorEastAsia"/>
        </w:rPr>
        <w:fldChar w:fldCharType="end"/>
      </w:r>
      <w:r w:rsidRPr="00495931">
        <w:rPr>
          <w:rFonts w:eastAsia="宋体"/>
          <w:sz w:val="28"/>
          <w:szCs w:val="28"/>
        </w:rPr>
        <w:t>References</w:t>
      </w:r>
    </w:p>
    <w:p w14:paraId="3EB352A7" w14:textId="77777777" w:rsidR="0025431F" w:rsidRPr="00346A77" w:rsidRDefault="0025431F" w:rsidP="0025431F">
      <w:pPr>
        <w:spacing w:before="156" w:after="156"/>
        <w:rPr>
          <w:rFonts w:eastAsiaTheme="minorEastAsia" w:cs="Arial"/>
        </w:rPr>
      </w:pPr>
      <w:r w:rsidRPr="006125D4">
        <w:rPr>
          <w:bCs/>
        </w:rPr>
        <w:t xml:space="preserve">[1] </w:t>
      </w:r>
      <w:r>
        <w:rPr>
          <w:rFonts w:cs="Arial"/>
        </w:rPr>
        <w:t>R2-23</w:t>
      </w:r>
      <w:r w:rsidRPr="00EA3B32">
        <w:rPr>
          <w:rFonts w:cs="Arial"/>
        </w:rPr>
        <w:t>xxxxx</w:t>
      </w:r>
      <w:r w:rsidRPr="00640388">
        <w:rPr>
          <w:rFonts w:cs="Arial"/>
        </w:rPr>
        <w:t xml:space="preserve">, </w:t>
      </w:r>
      <w:r w:rsidRPr="00305B9C">
        <w:rPr>
          <w:rFonts w:cs="Arial"/>
        </w:rPr>
        <w:t xml:space="preserve">Report </w:t>
      </w:r>
      <w:r>
        <w:rPr>
          <w:rFonts w:cs="Arial"/>
        </w:rPr>
        <w:t>of 3GPP TSG RAN WG2 meeting #12</w:t>
      </w:r>
      <w:r w:rsidR="00502AB3">
        <w:rPr>
          <w:rFonts w:cs="Arial"/>
        </w:rPr>
        <w:t>3</w:t>
      </w:r>
      <w:r w:rsidR="00716474">
        <w:rPr>
          <w:rFonts w:cs="Arial"/>
        </w:rPr>
        <w:t>bis</w:t>
      </w:r>
      <w:r w:rsidRPr="00640388">
        <w:rPr>
          <w:rFonts w:cs="Arial"/>
        </w:rPr>
        <w:t xml:space="preserve">, </w:t>
      </w:r>
      <w:r w:rsidRPr="00347BC6">
        <w:rPr>
          <w:rFonts w:cs="Arial"/>
        </w:rPr>
        <w:t>ETSI MCC</w:t>
      </w:r>
      <w:r w:rsidRPr="00640388">
        <w:rPr>
          <w:rFonts w:cs="Arial"/>
        </w:rPr>
        <w:t>.</w:t>
      </w:r>
    </w:p>
    <w:p w14:paraId="0076B7B3" w14:textId="77777777" w:rsidR="0025431F" w:rsidRPr="004536FF" w:rsidRDefault="0025431F" w:rsidP="0025431F">
      <w:pPr>
        <w:spacing w:before="156" w:after="156"/>
        <w:rPr>
          <w:rFonts w:eastAsiaTheme="minorEastAsia"/>
        </w:rPr>
      </w:pPr>
    </w:p>
    <w:p w14:paraId="6571F823" w14:textId="77777777" w:rsidR="0025431F" w:rsidRPr="00641C34" w:rsidRDefault="0025431F" w:rsidP="0025431F">
      <w:pPr>
        <w:spacing w:before="156" w:after="156"/>
        <w:rPr>
          <w:rFonts w:eastAsiaTheme="minorEastAsia"/>
        </w:rPr>
      </w:pPr>
    </w:p>
    <w:p w14:paraId="604933B3" w14:textId="77777777" w:rsidR="00C82425" w:rsidRPr="0025431F" w:rsidRDefault="00C82425">
      <w:pPr>
        <w:spacing w:before="156" w:after="156"/>
        <w:rPr>
          <w:rFonts w:eastAsiaTheme="minorEastAsia" w:cs="Arial"/>
        </w:rPr>
      </w:pPr>
    </w:p>
    <w:sectPr w:rsidR="00C82425" w:rsidRPr="0025431F"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1925C" w14:textId="77777777" w:rsidR="00635ED7" w:rsidRDefault="00635ED7" w:rsidP="008242C1">
      <w:pPr>
        <w:spacing w:before="120" w:after="120"/>
      </w:pPr>
      <w:r>
        <w:separator/>
      </w:r>
    </w:p>
    <w:p w14:paraId="02988807" w14:textId="77777777" w:rsidR="00635ED7" w:rsidRDefault="00635ED7">
      <w:pPr>
        <w:spacing w:before="120" w:after="120"/>
      </w:pPr>
    </w:p>
  </w:endnote>
  <w:endnote w:type="continuationSeparator" w:id="0">
    <w:p w14:paraId="14E879D3" w14:textId="77777777" w:rsidR="00635ED7" w:rsidRDefault="00635ED7" w:rsidP="008242C1">
      <w:pPr>
        <w:spacing w:before="120" w:after="120"/>
      </w:pPr>
      <w:r>
        <w:continuationSeparator/>
      </w:r>
    </w:p>
    <w:p w14:paraId="35965823" w14:textId="77777777" w:rsidR="00635ED7" w:rsidRDefault="00635ED7">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D6993" w14:textId="77777777" w:rsidR="0088298D" w:rsidRDefault="0088298D">
    <w:pPr>
      <w:pStyle w:val="a7"/>
      <w:spacing w:before="120" w:after="120"/>
    </w:pPr>
  </w:p>
  <w:p w14:paraId="42C7EAAB" w14:textId="77777777" w:rsidR="0088298D" w:rsidRDefault="0088298D">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4A8701CA" w14:textId="45CB455A" w:rsidR="0088298D" w:rsidRPr="007B2F6F" w:rsidRDefault="0088298D"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EE1396" w:rsidRPr="00EE1396">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FCB75" w14:textId="77777777" w:rsidR="0088298D" w:rsidRDefault="0088298D">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15207" w14:textId="77777777" w:rsidR="00635ED7" w:rsidRDefault="00635ED7" w:rsidP="008242C1">
      <w:pPr>
        <w:spacing w:before="120" w:after="120"/>
      </w:pPr>
      <w:r>
        <w:separator/>
      </w:r>
    </w:p>
    <w:p w14:paraId="1FA4A3DF" w14:textId="77777777" w:rsidR="00635ED7" w:rsidRDefault="00635ED7">
      <w:pPr>
        <w:spacing w:before="120" w:after="120"/>
      </w:pPr>
    </w:p>
  </w:footnote>
  <w:footnote w:type="continuationSeparator" w:id="0">
    <w:p w14:paraId="578A5014" w14:textId="77777777" w:rsidR="00635ED7" w:rsidRDefault="00635ED7" w:rsidP="008242C1">
      <w:pPr>
        <w:spacing w:before="120" w:after="120"/>
      </w:pPr>
      <w:r>
        <w:continuationSeparator/>
      </w:r>
    </w:p>
    <w:p w14:paraId="702EEBA6" w14:textId="77777777" w:rsidR="00635ED7" w:rsidRDefault="00635ED7">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071EA" w14:textId="77777777" w:rsidR="0088298D" w:rsidRDefault="0088298D">
    <w:pPr>
      <w:pStyle w:val="a5"/>
      <w:spacing w:before="120" w:after="120"/>
    </w:pPr>
  </w:p>
  <w:p w14:paraId="303EC7E5" w14:textId="77777777" w:rsidR="0088298D" w:rsidRDefault="0088298D">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EA13B" w14:textId="77777777" w:rsidR="0088298D" w:rsidRPr="007B2F6F" w:rsidRDefault="0088298D"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EC186" w14:textId="77777777" w:rsidR="0088298D" w:rsidRDefault="0088298D">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32F8A"/>
    <w:multiLevelType w:val="hybridMultilevel"/>
    <w:tmpl w:val="CE58B018"/>
    <w:lvl w:ilvl="0" w:tplc="1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151967"/>
    <w:multiLevelType w:val="hybridMultilevel"/>
    <w:tmpl w:val="9E58289E"/>
    <w:lvl w:ilvl="0" w:tplc="1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3B3E03"/>
    <w:multiLevelType w:val="hybridMultilevel"/>
    <w:tmpl w:val="6AD01470"/>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8D4591"/>
    <w:multiLevelType w:val="hybridMultilevel"/>
    <w:tmpl w:val="3D46157A"/>
    <w:lvl w:ilvl="0" w:tplc="0415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31BB12A9"/>
    <w:multiLevelType w:val="hybridMultilevel"/>
    <w:tmpl w:val="21B6844E"/>
    <w:lvl w:ilvl="0" w:tplc="1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84742DF"/>
    <w:multiLevelType w:val="hybridMultilevel"/>
    <w:tmpl w:val="4D2C0556"/>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FE2B0D"/>
    <w:multiLevelType w:val="hybridMultilevel"/>
    <w:tmpl w:val="3EF0E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9F331AD"/>
    <w:multiLevelType w:val="hybridMultilevel"/>
    <w:tmpl w:val="EE667156"/>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DD413BB"/>
    <w:multiLevelType w:val="hybridMultilevel"/>
    <w:tmpl w:val="620E40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873BA0"/>
    <w:multiLevelType w:val="hybridMultilevel"/>
    <w:tmpl w:val="6220F238"/>
    <w:lvl w:ilvl="0" w:tplc="A7E8D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5635BD"/>
    <w:multiLevelType w:val="hybridMultilevel"/>
    <w:tmpl w:val="C4E4051C"/>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4C44E3"/>
    <w:multiLevelType w:val="hybridMultilevel"/>
    <w:tmpl w:val="0D3060D6"/>
    <w:lvl w:ilvl="0" w:tplc="10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4D65F0"/>
    <w:multiLevelType w:val="hybridMultilevel"/>
    <w:tmpl w:val="CE02CD52"/>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735CB8"/>
    <w:multiLevelType w:val="hybridMultilevel"/>
    <w:tmpl w:val="4EA0A35C"/>
    <w:lvl w:ilvl="0" w:tplc="A13AC00E">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EF55505"/>
    <w:multiLevelType w:val="hybridMultilevel"/>
    <w:tmpl w:val="C9EAD4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AB07FA"/>
    <w:multiLevelType w:val="hybridMultilevel"/>
    <w:tmpl w:val="5246D0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8"/>
  </w:num>
  <w:num w:numId="3">
    <w:abstractNumId w:val="1"/>
  </w:num>
  <w:num w:numId="4">
    <w:abstractNumId w:val="2"/>
  </w:num>
  <w:num w:numId="5">
    <w:abstractNumId w:val="5"/>
  </w:num>
  <w:num w:numId="6">
    <w:abstractNumId w:val="18"/>
  </w:num>
  <w:num w:numId="7">
    <w:abstractNumId w:val="19"/>
  </w:num>
  <w:num w:numId="8">
    <w:abstractNumId w:val="16"/>
  </w:num>
  <w:num w:numId="9">
    <w:abstractNumId w:val="2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3"/>
  </w:num>
  <w:num w:numId="13">
    <w:abstractNumId w:val="9"/>
  </w:num>
  <w:num w:numId="14">
    <w:abstractNumId w:val="13"/>
  </w:num>
  <w:num w:numId="15">
    <w:abstractNumId w:val="15"/>
  </w:num>
  <w:num w:numId="16">
    <w:abstractNumId w:val="20"/>
  </w:num>
  <w:num w:numId="17">
    <w:abstractNumId w:val="4"/>
  </w:num>
  <w:num w:numId="18">
    <w:abstractNumId w:val="10"/>
  </w:num>
  <w:num w:numId="19">
    <w:abstractNumId w:val="22"/>
  </w:num>
  <w:num w:numId="20">
    <w:abstractNumId w:val="0"/>
  </w:num>
  <w:num w:numId="21">
    <w:abstractNumId w:val="3"/>
  </w:num>
  <w:num w:numId="22">
    <w:abstractNumId w:val="7"/>
  </w:num>
  <w:num w:numId="23">
    <w:abstractNumId w:val="17"/>
  </w:num>
  <w:num w:numId="2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6F7D"/>
    <w:rsid w:val="000110FC"/>
    <w:rsid w:val="0001561B"/>
    <w:rsid w:val="0002304C"/>
    <w:rsid w:val="0002524B"/>
    <w:rsid w:val="00025580"/>
    <w:rsid w:val="000279F4"/>
    <w:rsid w:val="00032276"/>
    <w:rsid w:val="0003252A"/>
    <w:rsid w:val="00033A0B"/>
    <w:rsid w:val="0003421E"/>
    <w:rsid w:val="00041A7E"/>
    <w:rsid w:val="00044B1B"/>
    <w:rsid w:val="000461CD"/>
    <w:rsid w:val="00046313"/>
    <w:rsid w:val="00046C8B"/>
    <w:rsid w:val="00047006"/>
    <w:rsid w:val="00047E1D"/>
    <w:rsid w:val="00051E05"/>
    <w:rsid w:val="0005494E"/>
    <w:rsid w:val="00054CB1"/>
    <w:rsid w:val="00054E2B"/>
    <w:rsid w:val="00054F6E"/>
    <w:rsid w:val="00056A75"/>
    <w:rsid w:val="00057A88"/>
    <w:rsid w:val="0006123A"/>
    <w:rsid w:val="000670D1"/>
    <w:rsid w:val="00067F52"/>
    <w:rsid w:val="00071020"/>
    <w:rsid w:val="00071D63"/>
    <w:rsid w:val="000721C6"/>
    <w:rsid w:val="000723C1"/>
    <w:rsid w:val="00072962"/>
    <w:rsid w:val="0007367D"/>
    <w:rsid w:val="00073E50"/>
    <w:rsid w:val="00074DAB"/>
    <w:rsid w:val="00077128"/>
    <w:rsid w:val="00080372"/>
    <w:rsid w:val="000803B6"/>
    <w:rsid w:val="0008577F"/>
    <w:rsid w:val="0009140F"/>
    <w:rsid w:val="00091C18"/>
    <w:rsid w:val="00095AC3"/>
    <w:rsid w:val="00095EBA"/>
    <w:rsid w:val="000A088E"/>
    <w:rsid w:val="000A1A1B"/>
    <w:rsid w:val="000A1B7A"/>
    <w:rsid w:val="000A2E6A"/>
    <w:rsid w:val="000A5578"/>
    <w:rsid w:val="000B0E56"/>
    <w:rsid w:val="000B1D11"/>
    <w:rsid w:val="000B25E2"/>
    <w:rsid w:val="000B54B7"/>
    <w:rsid w:val="000B5507"/>
    <w:rsid w:val="000C04A5"/>
    <w:rsid w:val="000C077A"/>
    <w:rsid w:val="000C347C"/>
    <w:rsid w:val="000C35D8"/>
    <w:rsid w:val="000C6803"/>
    <w:rsid w:val="000C6BBB"/>
    <w:rsid w:val="000D037C"/>
    <w:rsid w:val="000D0749"/>
    <w:rsid w:val="000D0A83"/>
    <w:rsid w:val="000D3592"/>
    <w:rsid w:val="000D3B4A"/>
    <w:rsid w:val="000D4538"/>
    <w:rsid w:val="000D7FBC"/>
    <w:rsid w:val="000E0186"/>
    <w:rsid w:val="000E4061"/>
    <w:rsid w:val="000E4EEC"/>
    <w:rsid w:val="000E620D"/>
    <w:rsid w:val="000F0101"/>
    <w:rsid w:val="000F3CD7"/>
    <w:rsid w:val="000F68EB"/>
    <w:rsid w:val="000F7DB2"/>
    <w:rsid w:val="001006DD"/>
    <w:rsid w:val="0010232E"/>
    <w:rsid w:val="00103A82"/>
    <w:rsid w:val="001059BD"/>
    <w:rsid w:val="00106D2E"/>
    <w:rsid w:val="0010706A"/>
    <w:rsid w:val="00107386"/>
    <w:rsid w:val="001076AD"/>
    <w:rsid w:val="00110245"/>
    <w:rsid w:val="00111BE6"/>
    <w:rsid w:val="001138D1"/>
    <w:rsid w:val="00114EA4"/>
    <w:rsid w:val="00115ED9"/>
    <w:rsid w:val="00115FEE"/>
    <w:rsid w:val="0012206D"/>
    <w:rsid w:val="00123BFF"/>
    <w:rsid w:val="0012444E"/>
    <w:rsid w:val="00125F9B"/>
    <w:rsid w:val="00131271"/>
    <w:rsid w:val="00133090"/>
    <w:rsid w:val="00135423"/>
    <w:rsid w:val="00135F5A"/>
    <w:rsid w:val="001371A3"/>
    <w:rsid w:val="001441E3"/>
    <w:rsid w:val="00147C31"/>
    <w:rsid w:val="001528BF"/>
    <w:rsid w:val="0015528E"/>
    <w:rsid w:val="00162450"/>
    <w:rsid w:val="00162838"/>
    <w:rsid w:val="00164836"/>
    <w:rsid w:val="00164E63"/>
    <w:rsid w:val="00166F33"/>
    <w:rsid w:val="00170096"/>
    <w:rsid w:val="00170537"/>
    <w:rsid w:val="00174133"/>
    <w:rsid w:val="0017648B"/>
    <w:rsid w:val="00176D53"/>
    <w:rsid w:val="00185E7A"/>
    <w:rsid w:val="0018614D"/>
    <w:rsid w:val="00191666"/>
    <w:rsid w:val="00191AC3"/>
    <w:rsid w:val="00191FEC"/>
    <w:rsid w:val="00192443"/>
    <w:rsid w:val="001925A5"/>
    <w:rsid w:val="00194B93"/>
    <w:rsid w:val="00196368"/>
    <w:rsid w:val="001A09D1"/>
    <w:rsid w:val="001A6654"/>
    <w:rsid w:val="001A66B0"/>
    <w:rsid w:val="001A6DB5"/>
    <w:rsid w:val="001B0F28"/>
    <w:rsid w:val="001B2A44"/>
    <w:rsid w:val="001C029D"/>
    <w:rsid w:val="001C082E"/>
    <w:rsid w:val="001C1AE0"/>
    <w:rsid w:val="001C1C87"/>
    <w:rsid w:val="001C317B"/>
    <w:rsid w:val="001C6373"/>
    <w:rsid w:val="001C6439"/>
    <w:rsid w:val="001D08D8"/>
    <w:rsid w:val="001D1B3E"/>
    <w:rsid w:val="001D27A9"/>
    <w:rsid w:val="001D5F22"/>
    <w:rsid w:val="001E1BA0"/>
    <w:rsid w:val="001E2612"/>
    <w:rsid w:val="001E358E"/>
    <w:rsid w:val="001E5366"/>
    <w:rsid w:val="001E67C1"/>
    <w:rsid w:val="001F2D34"/>
    <w:rsid w:val="001F31AB"/>
    <w:rsid w:val="001F473F"/>
    <w:rsid w:val="00201F06"/>
    <w:rsid w:val="002022AA"/>
    <w:rsid w:val="002057C0"/>
    <w:rsid w:val="0020663A"/>
    <w:rsid w:val="00206D55"/>
    <w:rsid w:val="00207852"/>
    <w:rsid w:val="00210EA4"/>
    <w:rsid w:val="0021470D"/>
    <w:rsid w:val="00221E12"/>
    <w:rsid w:val="00223482"/>
    <w:rsid w:val="002249B0"/>
    <w:rsid w:val="0022523F"/>
    <w:rsid w:val="002339F9"/>
    <w:rsid w:val="0023549F"/>
    <w:rsid w:val="002356DC"/>
    <w:rsid w:val="00235C97"/>
    <w:rsid w:val="00235D73"/>
    <w:rsid w:val="00236822"/>
    <w:rsid w:val="00241124"/>
    <w:rsid w:val="00241D8A"/>
    <w:rsid w:val="00245563"/>
    <w:rsid w:val="0024697C"/>
    <w:rsid w:val="00250166"/>
    <w:rsid w:val="0025431F"/>
    <w:rsid w:val="00254D3D"/>
    <w:rsid w:val="0025651D"/>
    <w:rsid w:val="00263555"/>
    <w:rsid w:val="00264AA6"/>
    <w:rsid w:val="002700DC"/>
    <w:rsid w:val="00270A85"/>
    <w:rsid w:val="00274D8A"/>
    <w:rsid w:val="00276353"/>
    <w:rsid w:val="00282F99"/>
    <w:rsid w:val="00282FAC"/>
    <w:rsid w:val="00283E92"/>
    <w:rsid w:val="00285498"/>
    <w:rsid w:val="00287875"/>
    <w:rsid w:val="00291E26"/>
    <w:rsid w:val="00292600"/>
    <w:rsid w:val="00293BA7"/>
    <w:rsid w:val="002947CC"/>
    <w:rsid w:val="002A05F4"/>
    <w:rsid w:val="002A0725"/>
    <w:rsid w:val="002A167D"/>
    <w:rsid w:val="002A27DB"/>
    <w:rsid w:val="002A2BE2"/>
    <w:rsid w:val="002A49EB"/>
    <w:rsid w:val="002A6668"/>
    <w:rsid w:val="002B10E3"/>
    <w:rsid w:val="002B1BFD"/>
    <w:rsid w:val="002B2955"/>
    <w:rsid w:val="002B297E"/>
    <w:rsid w:val="002B3F87"/>
    <w:rsid w:val="002B43AB"/>
    <w:rsid w:val="002B4403"/>
    <w:rsid w:val="002B7483"/>
    <w:rsid w:val="002B7605"/>
    <w:rsid w:val="002C2820"/>
    <w:rsid w:val="002C72EA"/>
    <w:rsid w:val="002D15D3"/>
    <w:rsid w:val="002D4B72"/>
    <w:rsid w:val="002D5430"/>
    <w:rsid w:val="002D5D79"/>
    <w:rsid w:val="002D5F4C"/>
    <w:rsid w:val="002D60A2"/>
    <w:rsid w:val="002D67EC"/>
    <w:rsid w:val="002D75CF"/>
    <w:rsid w:val="002E266A"/>
    <w:rsid w:val="002E41BF"/>
    <w:rsid w:val="002F2B4C"/>
    <w:rsid w:val="002F5D12"/>
    <w:rsid w:val="00300A40"/>
    <w:rsid w:val="00301785"/>
    <w:rsid w:val="00302DCB"/>
    <w:rsid w:val="00306559"/>
    <w:rsid w:val="0031212E"/>
    <w:rsid w:val="00316810"/>
    <w:rsid w:val="0032046D"/>
    <w:rsid w:val="0032138A"/>
    <w:rsid w:val="003214E1"/>
    <w:rsid w:val="0032438F"/>
    <w:rsid w:val="00332EB7"/>
    <w:rsid w:val="00333884"/>
    <w:rsid w:val="00334356"/>
    <w:rsid w:val="003344FD"/>
    <w:rsid w:val="0033549E"/>
    <w:rsid w:val="0033614E"/>
    <w:rsid w:val="00336ED6"/>
    <w:rsid w:val="00340514"/>
    <w:rsid w:val="003433FF"/>
    <w:rsid w:val="003442EE"/>
    <w:rsid w:val="0034460B"/>
    <w:rsid w:val="00344D24"/>
    <w:rsid w:val="00347747"/>
    <w:rsid w:val="0035195B"/>
    <w:rsid w:val="00361F4E"/>
    <w:rsid w:val="00362577"/>
    <w:rsid w:val="00364003"/>
    <w:rsid w:val="003645CD"/>
    <w:rsid w:val="0037135F"/>
    <w:rsid w:val="00371AF7"/>
    <w:rsid w:val="003749ED"/>
    <w:rsid w:val="00375689"/>
    <w:rsid w:val="0037739C"/>
    <w:rsid w:val="0037777E"/>
    <w:rsid w:val="003778D5"/>
    <w:rsid w:val="00377BC1"/>
    <w:rsid w:val="00380E22"/>
    <w:rsid w:val="00393ADC"/>
    <w:rsid w:val="00395D6C"/>
    <w:rsid w:val="00395EFE"/>
    <w:rsid w:val="003A123D"/>
    <w:rsid w:val="003A3877"/>
    <w:rsid w:val="003A54DD"/>
    <w:rsid w:val="003A5B2D"/>
    <w:rsid w:val="003A609E"/>
    <w:rsid w:val="003A6B54"/>
    <w:rsid w:val="003B0538"/>
    <w:rsid w:val="003B42D3"/>
    <w:rsid w:val="003B5A15"/>
    <w:rsid w:val="003B60D9"/>
    <w:rsid w:val="003B7087"/>
    <w:rsid w:val="003C477A"/>
    <w:rsid w:val="003C49D2"/>
    <w:rsid w:val="003C5813"/>
    <w:rsid w:val="003C59AF"/>
    <w:rsid w:val="003C6496"/>
    <w:rsid w:val="003C6BA7"/>
    <w:rsid w:val="003D08E7"/>
    <w:rsid w:val="003D0FC8"/>
    <w:rsid w:val="003D36EB"/>
    <w:rsid w:val="003D39EE"/>
    <w:rsid w:val="003D4528"/>
    <w:rsid w:val="003D6BD9"/>
    <w:rsid w:val="003D7BAA"/>
    <w:rsid w:val="003D7E8D"/>
    <w:rsid w:val="003E5B44"/>
    <w:rsid w:val="003E5F2C"/>
    <w:rsid w:val="003F15AF"/>
    <w:rsid w:val="003F2030"/>
    <w:rsid w:val="003F37E5"/>
    <w:rsid w:val="003F4232"/>
    <w:rsid w:val="0040457B"/>
    <w:rsid w:val="00412B9B"/>
    <w:rsid w:val="00413B78"/>
    <w:rsid w:val="00413CCC"/>
    <w:rsid w:val="004147CF"/>
    <w:rsid w:val="00415C3D"/>
    <w:rsid w:val="0042019E"/>
    <w:rsid w:val="00423D25"/>
    <w:rsid w:val="004250C0"/>
    <w:rsid w:val="00425B4F"/>
    <w:rsid w:val="004263A8"/>
    <w:rsid w:val="00431087"/>
    <w:rsid w:val="00432B57"/>
    <w:rsid w:val="00433A2D"/>
    <w:rsid w:val="00433CF0"/>
    <w:rsid w:val="00437FB2"/>
    <w:rsid w:val="00440EFE"/>
    <w:rsid w:val="00441FAC"/>
    <w:rsid w:val="00450486"/>
    <w:rsid w:val="004516F0"/>
    <w:rsid w:val="004536FF"/>
    <w:rsid w:val="004546D9"/>
    <w:rsid w:val="00461410"/>
    <w:rsid w:val="00461A7E"/>
    <w:rsid w:val="00461F18"/>
    <w:rsid w:val="00464E25"/>
    <w:rsid w:val="00466272"/>
    <w:rsid w:val="004672F7"/>
    <w:rsid w:val="00467483"/>
    <w:rsid w:val="00470DFC"/>
    <w:rsid w:val="00472485"/>
    <w:rsid w:val="00472E8E"/>
    <w:rsid w:val="00477664"/>
    <w:rsid w:val="00477E73"/>
    <w:rsid w:val="004941A1"/>
    <w:rsid w:val="00494403"/>
    <w:rsid w:val="0049652C"/>
    <w:rsid w:val="00496C36"/>
    <w:rsid w:val="004A3648"/>
    <w:rsid w:val="004A40A8"/>
    <w:rsid w:val="004A4309"/>
    <w:rsid w:val="004B108D"/>
    <w:rsid w:val="004B4E9D"/>
    <w:rsid w:val="004B5A2C"/>
    <w:rsid w:val="004C4FD9"/>
    <w:rsid w:val="004C71F9"/>
    <w:rsid w:val="004C79D1"/>
    <w:rsid w:val="004D2550"/>
    <w:rsid w:val="004D418F"/>
    <w:rsid w:val="004D6E09"/>
    <w:rsid w:val="004D769F"/>
    <w:rsid w:val="004D7FB6"/>
    <w:rsid w:val="004E023B"/>
    <w:rsid w:val="004E0467"/>
    <w:rsid w:val="004E239C"/>
    <w:rsid w:val="004E2801"/>
    <w:rsid w:val="004E2E0D"/>
    <w:rsid w:val="004E335C"/>
    <w:rsid w:val="004E4F49"/>
    <w:rsid w:val="004E5419"/>
    <w:rsid w:val="004F00C7"/>
    <w:rsid w:val="004F0179"/>
    <w:rsid w:val="004F15C5"/>
    <w:rsid w:val="004F34E7"/>
    <w:rsid w:val="0050153E"/>
    <w:rsid w:val="00502AB3"/>
    <w:rsid w:val="00510585"/>
    <w:rsid w:val="0051236F"/>
    <w:rsid w:val="00513231"/>
    <w:rsid w:val="005141F6"/>
    <w:rsid w:val="005144C1"/>
    <w:rsid w:val="0051595A"/>
    <w:rsid w:val="00517A9B"/>
    <w:rsid w:val="00523823"/>
    <w:rsid w:val="00523E42"/>
    <w:rsid w:val="005255B5"/>
    <w:rsid w:val="005266A7"/>
    <w:rsid w:val="0053026D"/>
    <w:rsid w:val="00530FA6"/>
    <w:rsid w:val="005310A0"/>
    <w:rsid w:val="00531D4D"/>
    <w:rsid w:val="00532284"/>
    <w:rsid w:val="00533B49"/>
    <w:rsid w:val="005341B5"/>
    <w:rsid w:val="0053530C"/>
    <w:rsid w:val="00535A95"/>
    <w:rsid w:val="00535CED"/>
    <w:rsid w:val="00537F3E"/>
    <w:rsid w:val="00540347"/>
    <w:rsid w:val="005415D9"/>
    <w:rsid w:val="0055169F"/>
    <w:rsid w:val="00556199"/>
    <w:rsid w:val="00557AD3"/>
    <w:rsid w:val="005613A6"/>
    <w:rsid w:val="005623DD"/>
    <w:rsid w:val="00562A33"/>
    <w:rsid w:val="0056426B"/>
    <w:rsid w:val="005669C7"/>
    <w:rsid w:val="00566F3D"/>
    <w:rsid w:val="00567198"/>
    <w:rsid w:val="005676D3"/>
    <w:rsid w:val="00570B32"/>
    <w:rsid w:val="00571EC4"/>
    <w:rsid w:val="00572E13"/>
    <w:rsid w:val="00573547"/>
    <w:rsid w:val="005743CB"/>
    <w:rsid w:val="00575B03"/>
    <w:rsid w:val="0058059A"/>
    <w:rsid w:val="005813C0"/>
    <w:rsid w:val="00581E8D"/>
    <w:rsid w:val="00582906"/>
    <w:rsid w:val="00582AE2"/>
    <w:rsid w:val="00583378"/>
    <w:rsid w:val="00584576"/>
    <w:rsid w:val="00586893"/>
    <w:rsid w:val="00591D15"/>
    <w:rsid w:val="0059495B"/>
    <w:rsid w:val="00594A46"/>
    <w:rsid w:val="005951A7"/>
    <w:rsid w:val="00597C5E"/>
    <w:rsid w:val="00597F65"/>
    <w:rsid w:val="005A59F8"/>
    <w:rsid w:val="005B0022"/>
    <w:rsid w:val="005B04A4"/>
    <w:rsid w:val="005B17B3"/>
    <w:rsid w:val="005B23ED"/>
    <w:rsid w:val="005B305D"/>
    <w:rsid w:val="005B31C3"/>
    <w:rsid w:val="005B3675"/>
    <w:rsid w:val="005C12AB"/>
    <w:rsid w:val="005C1658"/>
    <w:rsid w:val="005C3A15"/>
    <w:rsid w:val="005C3F76"/>
    <w:rsid w:val="005C474B"/>
    <w:rsid w:val="005C4B06"/>
    <w:rsid w:val="005C6AA5"/>
    <w:rsid w:val="005C6EB3"/>
    <w:rsid w:val="005C6F0D"/>
    <w:rsid w:val="005D292B"/>
    <w:rsid w:val="005D6259"/>
    <w:rsid w:val="005E1D43"/>
    <w:rsid w:val="005E33C9"/>
    <w:rsid w:val="005E5C79"/>
    <w:rsid w:val="005E60F1"/>
    <w:rsid w:val="005E79E1"/>
    <w:rsid w:val="005F2DEE"/>
    <w:rsid w:val="005F36E8"/>
    <w:rsid w:val="005F7750"/>
    <w:rsid w:val="00606771"/>
    <w:rsid w:val="00607260"/>
    <w:rsid w:val="00612CC5"/>
    <w:rsid w:val="0062229E"/>
    <w:rsid w:val="00623233"/>
    <w:rsid w:val="00623A74"/>
    <w:rsid w:val="00624724"/>
    <w:rsid w:val="006250C8"/>
    <w:rsid w:val="00625250"/>
    <w:rsid w:val="00627331"/>
    <w:rsid w:val="0062785A"/>
    <w:rsid w:val="006312B7"/>
    <w:rsid w:val="00633FDD"/>
    <w:rsid w:val="006357C9"/>
    <w:rsid w:val="00635ED7"/>
    <w:rsid w:val="00636BD6"/>
    <w:rsid w:val="00641ED5"/>
    <w:rsid w:val="00642847"/>
    <w:rsid w:val="00644C75"/>
    <w:rsid w:val="00644F75"/>
    <w:rsid w:val="00645F4A"/>
    <w:rsid w:val="006478AA"/>
    <w:rsid w:val="0065502A"/>
    <w:rsid w:val="00660881"/>
    <w:rsid w:val="00663E72"/>
    <w:rsid w:val="006642D6"/>
    <w:rsid w:val="00664833"/>
    <w:rsid w:val="0066523E"/>
    <w:rsid w:val="00673841"/>
    <w:rsid w:val="00674AF9"/>
    <w:rsid w:val="00674DBC"/>
    <w:rsid w:val="0067577B"/>
    <w:rsid w:val="006766B6"/>
    <w:rsid w:val="006805A9"/>
    <w:rsid w:val="006833C4"/>
    <w:rsid w:val="00686862"/>
    <w:rsid w:val="0069362A"/>
    <w:rsid w:val="00694E8E"/>
    <w:rsid w:val="00695498"/>
    <w:rsid w:val="006A0683"/>
    <w:rsid w:val="006A1805"/>
    <w:rsid w:val="006B21ED"/>
    <w:rsid w:val="006B5A60"/>
    <w:rsid w:val="006B7A8D"/>
    <w:rsid w:val="006B7F04"/>
    <w:rsid w:val="006C1E32"/>
    <w:rsid w:val="006C36DC"/>
    <w:rsid w:val="006C371C"/>
    <w:rsid w:val="006C3C6B"/>
    <w:rsid w:val="006C422B"/>
    <w:rsid w:val="006C5858"/>
    <w:rsid w:val="006C67C6"/>
    <w:rsid w:val="006C7860"/>
    <w:rsid w:val="006D3ED1"/>
    <w:rsid w:val="006E0381"/>
    <w:rsid w:val="006E0890"/>
    <w:rsid w:val="006E27AE"/>
    <w:rsid w:val="006E6658"/>
    <w:rsid w:val="006E7DAA"/>
    <w:rsid w:val="006F072D"/>
    <w:rsid w:val="006F0DED"/>
    <w:rsid w:val="006F0E28"/>
    <w:rsid w:val="006F21E2"/>
    <w:rsid w:val="006F38F3"/>
    <w:rsid w:val="006F5213"/>
    <w:rsid w:val="006F7CFD"/>
    <w:rsid w:val="00702132"/>
    <w:rsid w:val="00702286"/>
    <w:rsid w:val="00702730"/>
    <w:rsid w:val="00703224"/>
    <w:rsid w:val="007033F7"/>
    <w:rsid w:val="00707807"/>
    <w:rsid w:val="00710826"/>
    <w:rsid w:val="00710CFB"/>
    <w:rsid w:val="00710FD3"/>
    <w:rsid w:val="007134B4"/>
    <w:rsid w:val="00714C5A"/>
    <w:rsid w:val="00716474"/>
    <w:rsid w:val="0072119A"/>
    <w:rsid w:val="007276DE"/>
    <w:rsid w:val="00731A0D"/>
    <w:rsid w:val="00731F75"/>
    <w:rsid w:val="00732EF5"/>
    <w:rsid w:val="0073396C"/>
    <w:rsid w:val="00736D7D"/>
    <w:rsid w:val="00741BE6"/>
    <w:rsid w:val="00741F28"/>
    <w:rsid w:val="00751C32"/>
    <w:rsid w:val="00752B85"/>
    <w:rsid w:val="007567D4"/>
    <w:rsid w:val="00757139"/>
    <w:rsid w:val="00757A8D"/>
    <w:rsid w:val="00760679"/>
    <w:rsid w:val="007639A8"/>
    <w:rsid w:val="007662B1"/>
    <w:rsid w:val="00766929"/>
    <w:rsid w:val="007677AF"/>
    <w:rsid w:val="007718A0"/>
    <w:rsid w:val="00771E38"/>
    <w:rsid w:val="007738F5"/>
    <w:rsid w:val="0077542F"/>
    <w:rsid w:val="0077677E"/>
    <w:rsid w:val="0077729F"/>
    <w:rsid w:val="0078187B"/>
    <w:rsid w:val="00781894"/>
    <w:rsid w:val="00781C7E"/>
    <w:rsid w:val="007839BA"/>
    <w:rsid w:val="00793962"/>
    <w:rsid w:val="007946BD"/>
    <w:rsid w:val="00797A04"/>
    <w:rsid w:val="007A19C2"/>
    <w:rsid w:val="007A33FF"/>
    <w:rsid w:val="007A4607"/>
    <w:rsid w:val="007A5264"/>
    <w:rsid w:val="007A7147"/>
    <w:rsid w:val="007A7ABE"/>
    <w:rsid w:val="007B04E5"/>
    <w:rsid w:val="007B0F65"/>
    <w:rsid w:val="007B1447"/>
    <w:rsid w:val="007B242E"/>
    <w:rsid w:val="007B2F6F"/>
    <w:rsid w:val="007C0EBA"/>
    <w:rsid w:val="007C1EBF"/>
    <w:rsid w:val="007C676A"/>
    <w:rsid w:val="007D0EFA"/>
    <w:rsid w:val="007D3FB8"/>
    <w:rsid w:val="007E1034"/>
    <w:rsid w:val="007E5DF9"/>
    <w:rsid w:val="007E7427"/>
    <w:rsid w:val="007E7D5C"/>
    <w:rsid w:val="007F3ADA"/>
    <w:rsid w:val="007F3BD3"/>
    <w:rsid w:val="007F40C3"/>
    <w:rsid w:val="007F55C2"/>
    <w:rsid w:val="007F7C4B"/>
    <w:rsid w:val="00800328"/>
    <w:rsid w:val="00802E3F"/>
    <w:rsid w:val="008037BC"/>
    <w:rsid w:val="00803A91"/>
    <w:rsid w:val="00805E6F"/>
    <w:rsid w:val="00806260"/>
    <w:rsid w:val="008120A9"/>
    <w:rsid w:val="00814539"/>
    <w:rsid w:val="00815FDD"/>
    <w:rsid w:val="00822335"/>
    <w:rsid w:val="00822857"/>
    <w:rsid w:val="00823186"/>
    <w:rsid w:val="008242C1"/>
    <w:rsid w:val="0083130F"/>
    <w:rsid w:val="008345F9"/>
    <w:rsid w:val="00834EA0"/>
    <w:rsid w:val="008405B0"/>
    <w:rsid w:val="00843C0A"/>
    <w:rsid w:val="00843F87"/>
    <w:rsid w:val="0085333F"/>
    <w:rsid w:val="00853670"/>
    <w:rsid w:val="00853ADD"/>
    <w:rsid w:val="0085553E"/>
    <w:rsid w:val="00855C54"/>
    <w:rsid w:val="008618E3"/>
    <w:rsid w:val="00862AD1"/>
    <w:rsid w:val="00864676"/>
    <w:rsid w:val="00872136"/>
    <w:rsid w:val="00881975"/>
    <w:rsid w:val="00881F78"/>
    <w:rsid w:val="0088298D"/>
    <w:rsid w:val="00884696"/>
    <w:rsid w:val="008847C9"/>
    <w:rsid w:val="00886BEA"/>
    <w:rsid w:val="0089421E"/>
    <w:rsid w:val="00894B17"/>
    <w:rsid w:val="00896FF5"/>
    <w:rsid w:val="008A0B48"/>
    <w:rsid w:val="008A1896"/>
    <w:rsid w:val="008A42F7"/>
    <w:rsid w:val="008A51C8"/>
    <w:rsid w:val="008A571B"/>
    <w:rsid w:val="008A70B4"/>
    <w:rsid w:val="008B0F88"/>
    <w:rsid w:val="008B2A43"/>
    <w:rsid w:val="008B458D"/>
    <w:rsid w:val="008C07CE"/>
    <w:rsid w:val="008C24FF"/>
    <w:rsid w:val="008C255A"/>
    <w:rsid w:val="008D0D6E"/>
    <w:rsid w:val="008D30AD"/>
    <w:rsid w:val="008D34A3"/>
    <w:rsid w:val="008D550E"/>
    <w:rsid w:val="008D5EA0"/>
    <w:rsid w:val="008E011E"/>
    <w:rsid w:val="008E0D49"/>
    <w:rsid w:val="008E118D"/>
    <w:rsid w:val="008E245F"/>
    <w:rsid w:val="008E2580"/>
    <w:rsid w:val="008E4C12"/>
    <w:rsid w:val="008E597D"/>
    <w:rsid w:val="008E69BF"/>
    <w:rsid w:val="008F0038"/>
    <w:rsid w:val="008F13FB"/>
    <w:rsid w:val="008F1DE4"/>
    <w:rsid w:val="008F3CC2"/>
    <w:rsid w:val="008F489E"/>
    <w:rsid w:val="008F5DE0"/>
    <w:rsid w:val="008F61C0"/>
    <w:rsid w:val="008F6FB3"/>
    <w:rsid w:val="0090090F"/>
    <w:rsid w:val="00900932"/>
    <w:rsid w:val="009012D4"/>
    <w:rsid w:val="00902CF2"/>
    <w:rsid w:val="00903641"/>
    <w:rsid w:val="00906BF2"/>
    <w:rsid w:val="009101F4"/>
    <w:rsid w:val="0091056F"/>
    <w:rsid w:val="009110ED"/>
    <w:rsid w:val="00911498"/>
    <w:rsid w:val="00913E66"/>
    <w:rsid w:val="009144DE"/>
    <w:rsid w:val="00915F1C"/>
    <w:rsid w:val="00921670"/>
    <w:rsid w:val="0092394D"/>
    <w:rsid w:val="00924470"/>
    <w:rsid w:val="00931F8C"/>
    <w:rsid w:val="00932885"/>
    <w:rsid w:val="0093445A"/>
    <w:rsid w:val="009362B0"/>
    <w:rsid w:val="0094113D"/>
    <w:rsid w:val="0094148D"/>
    <w:rsid w:val="00942513"/>
    <w:rsid w:val="00943AF1"/>
    <w:rsid w:val="00943CD1"/>
    <w:rsid w:val="00946C5D"/>
    <w:rsid w:val="00952CBC"/>
    <w:rsid w:val="00952FA1"/>
    <w:rsid w:val="00953BD9"/>
    <w:rsid w:val="00953FB8"/>
    <w:rsid w:val="0095542D"/>
    <w:rsid w:val="009556D3"/>
    <w:rsid w:val="009565CE"/>
    <w:rsid w:val="009573E6"/>
    <w:rsid w:val="009607DD"/>
    <w:rsid w:val="00961A24"/>
    <w:rsid w:val="00961BF1"/>
    <w:rsid w:val="009645E8"/>
    <w:rsid w:val="00964A93"/>
    <w:rsid w:val="00972FA2"/>
    <w:rsid w:val="00976386"/>
    <w:rsid w:val="00977455"/>
    <w:rsid w:val="009813D1"/>
    <w:rsid w:val="009846CC"/>
    <w:rsid w:val="00985E07"/>
    <w:rsid w:val="0098600C"/>
    <w:rsid w:val="00986145"/>
    <w:rsid w:val="0098681C"/>
    <w:rsid w:val="00994F6D"/>
    <w:rsid w:val="00996043"/>
    <w:rsid w:val="00997AB6"/>
    <w:rsid w:val="009A174B"/>
    <w:rsid w:val="009A2842"/>
    <w:rsid w:val="009A2F2F"/>
    <w:rsid w:val="009B0488"/>
    <w:rsid w:val="009B1444"/>
    <w:rsid w:val="009B44AF"/>
    <w:rsid w:val="009B49F4"/>
    <w:rsid w:val="009C25D5"/>
    <w:rsid w:val="009D4735"/>
    <w:rsid w:val="009D564B"/>
    <w:rsid w:val="009D5DA0"/>
    <w:rsid w:val="009D6193"/>
    <w:rsid w:val="009E23CC"/>
    <w:rsid w:val="009E2A92"/>
    <w:rsid w:val="009E3449"/>
    <w:rsid w:val="009E38B4"/>
    <w:rsid w:val="009E6658"/>
    <w:rsid w:val="009E7351"/>
    <w:rsid w:val="009E772C"/>
    <w:rsid w:val="009F128D"/>
    <w:rsid w:val="009F17C4"/>
    <w:rsid w:val="009F2935"/>
    <w:rsid w:val="009F5926"/>
    <w:rsid w:val="009F6AC5"/>
    <w:rsid w:val="00A03B9E"/>
    <w:rsid w:val="00A066AC"/>
    <w:rsid w:val="00A0726C"/>
    <w:rsid w:val="00A0758D"/>
    <w:rsid w:val="00A1038D"/>
    <w:rsid w:val="00A11E95"/>
    <w:rsid w:val="00A15395"/>
    <w:rsid w:val="00A175FC"/>
    <w:rsid w:val="00A21F7B"/>
    <w:rsid w:val="00A22E8B"/>
    <w:rsid w:val="00A23839"/>
    <w:rsid w:val="00A25308"/>
    <w:rsid w:val="00A26AE4"/>
    <w:rsid w:val="00A3282A"/>
    <w:rsid w:val="00A34BDA"/>
    <w:rsid w:val="00A37442"/>
    <w:rsid w:val="00A40E18"/>
    <w:rsid w:val="00A41C95"/>
    <w:rsid w:val="00A422D5"/>
    <w:rsid w:val="00A4256A"/>
    <w:rsid w:val="00A42787"/>
    <w:rsid w:val="00A4334A"/>
    <w:rsid w:val="00A46B27"/>
    <w:rsid w:val="00A52BBB"/>
    <w:rsid w:val="00A55AE1"/>
    <w:rsid w:val="00A56992"/>
    <w:rsid w:val="00A57CDB"/>
    <w:rsid w:val="00A626B2"/>
    <w:rsid w:val="00A631C5"/>
    <w:rsid w:val="00A639A5"/>
    <w:rsid w:val="00A648D5"/>
    <w:rsid w:val="00A64CF1"/>
    <w:rsid w:val="00A676B6"/>
    <w:rsid w:val="00A72BCC"/>
    <w:rsid w:val="00A76A19"/>
    <w:rsid w:val="00A80D54"/>
    <w:rsid w:val="00A80F79"/>
    <w:rsid w:val="00A813AC"/>
    <w:rsid w:val="00A87876"/>
    <w:rsid w:val="00A92FB9"/>
    <w:rsid w:val="00A93C13"/>
    <w:rsid w:val="00A9525C"/>
    <w:rsid w:val="00A953E2"/>
    <w:rsid w:val="00A95C31"/>
    <w:rsid w:val="00AA66A0"/>
    <w:rsid w:val="00AA692D"/>
    <w:rsid w:val="00AA6FDD"/>
    <w:rsid w:val="00AB0A11"/>
    <w:rsid w:val="00AB6797"/>
    <w:rsid w:val="00AB7819"/>
    <w:rsid w:val="00AB79AB"/>
    <w:rsid w:val="00AC02D7"/>
    <w:rsid w:val="00AC25AE"/>
    <w:rsid w:val="00AC35F5"/>
    <w:rsid w:val="00AC3FF8"/>
    <w:rsid w:val="00AC4167"/>
    <w:rsid w:val="00AC673A"/>
    <w:rsid w:val="00AC7FB5"/>
    <w:rsid w:val="00AD0CA9"/>
    <w:rsid w:val="00AD17A2"/>
    <w:rsid w:val="00AD1A06"/>
    <w:rsid w:val="00AD1ACA"/>
    <w:rsid w:val="00AD63E5"/>
    <w:rsid w:val="00AD7E66"/>
    <w:rsid w:val="00AE133E"/>
    <w:rsid w:val="00AE40EB"/>
    <w:rsid w:val="00AE49E0"/>
    <w:rsid w:val="00AE4DA3"/>
    <w:rsid w:val="00AE7015"/>
    <w:rsid w:val="00AE7A46"/>
    <w:rsid w:val="00AF1935"/>
    <w:rsid w:val="00AF3D1F"/>
    <w:rsid w:val="00AF4793"/>
    <w:rsid w:val="00AF615E"/>
    <w:rsid w:val="00B0006D"/>
    <w:rsid w:val="00B00C0E"/>
    <w:rsid w:val="00B02CC5"/>
    <w:rsid w:val="00B04397"/>
    <w:rsid w:val="00B139A7"/>
    <w:rsid w:val="00B14AC0"/>
    <w:rsid w:val="00B154A0"/>
    <w:rsid w:val="00B20651"/>
    <w:rsid w:val="00B21DEC"/>
    <w:rsid w:val="00B23553"/>
    <w:rsid w:val="00B23A64"/>
    <w:rsid w:val="00B23E63"/>
    <w:rsid w:val="00B24B58"/>
    <w:rsid w:val="00B3141C"/>
    <w:rsid w:val="00B33896"/>
    <w:rsid w:val="00B41001"/>
    <w:rsid w:val="00B41ECC"/>
    <w:rsid w:val="00B43954"/>
    <w:rsid w:val="00B4733F"/>
    <w:rsid w:val="00B53F1B"/>
    <w:rsid w:val="00B54E41"/>
    <w:rsid w:val="00B55317"/>
    <w:rsid w:val="00B577B8"/>
    <w:rsid w:val="00B632C0"/>
    <w:rsid w:val="00B65E8E"/>
    <w:rsid w:val="00B66B81"/>
    <w:rsid w:val="00B66C81"/>
    <w:rsid w:val="00B70598"/>
    <w:rsid w:val="00B7063E"/>
    <w:rsid w:val="00B70C4D"/>
    <w:rsid w:val="00B7149B"/>
    <w:rsid w:val="00B71AC6"/>
    <w:rsid w:val="00B73FC0"/>
    <w:rsid w:val="00B75012"/>
    <w:rsid w:val="00B77572"/>
    <w:rsid w:val="00B77617"/>
    <w:rsid w:val="00B80ABA"/>
    <w:rsid w:val="00B81E43"/>
    <w:rsid w:val="00B8343E"/>
    <w:rsid w:val="00B848A6"/>
    <w:rsid w:val="00B84D3B"/>
    <w:rsid w:val="00B85342"/>
    <w:rsid w:val="00B865C3"/>
    <w:rsid w:val="00B96B5E"/>
    <w:rsid w:val="00BA0475"/>
    <w:rsid w:val="00BA18EF"/>
    <w:rsid w:val="00BA343A"/>
    <w:rsid w:val="00BA75F2"/>
    <w:rsid w:val="00BB0E0B"/>
    <w:rsid w:val="00BB1348"/>
    <w:rsid w:val="00BB2777"/>
    <w:rsid w:val="00BB7145"/>
    <w:rsid w:val="00BC1A1C"/>
    <w:rsid w:val="00BD0825"/>
    <w:rsid w:val="00BD378F"/>
    <w:rsid w:val="00BD3DE5"/>
    <w:rsid w:val="00BD48BA"/>
    <w:rsid w:val="00BD5D5C"/>
    <w:rsid w:val="00BD5D6B"/>
    <w:rsid w:val="00BD63DF"/>
    <w:rsid w:val="00BE0A86"/>
    <w:rsid w:val="00BE1869"/>
    <w:rsid w:val="00BE401C"/>
    <w:rsid w:val="00BE457D"/>
    <w:rsid w:val="00BE48AC"/>
    <w:rsid w:val="00BE4DED"/>
    <w:rsid w:val="00BF209A"/>
    <w:rsid w:val="00BF367B"/>
    <w:rsid w:val="00BF37E9"/>
    <w:rsid w:val="00BF466F"/>
    <w:rsid w:val="00BF4B92"/>
    <w:rsid w:val="00BF680E"/>
    <w:rsid w:val="00BF6F47"/>
    <w:rsid w:val="00BF7080"/>
    <w:rsid w:val="00BF711D"/>
    <w:rsid w:val="00BF73D3"/>
    <w:rsid w:val="00C00BB6"/>
    <w:rsid w:val="00C02C4E"/>
    <w:rsid w:val="00C0421B"/>
    <w:rsid w:val="00C04F45"/>
    <w:rsid w:val="00C05891"/>
    <w:rsid w:val="00C07BBC"/>
    <w:rsid w:val="00C12401"/>
    <w:rsid w:val="00C15A0B"/>
    <w:rsid w:val="00C165A3"/>
    <w:rsid w:val="00C1754E"/>
    <w:rsid w:val="00C2161B"/>
    <w:rsid w:val="00C24EEF"/>
    <w:rsid w:val="00C26C8E"/>
    <w:rsid w:val="00C27CDC"/>
    <w:rsid w:val="00C3052C"/>
    <w:rsid w:val="00C307DA"/>
    <w:rsid w:val="00C3460A"/>
    <w:rsid w:val="00C352C8"/>
    <w:rsid w:val="00C41A5D"/>
    <w:rsid w:val="00C4353C"/>
    <w:rsid w:val="00C43DA2"/>
    <w:rsid w:val="00C44B95"/>
    <w:rsid w:val="00C4661E"/>
    <w:rsid w:val="00C46F9D"/>
    <w:rsid w:val="00C52438"/>
    <w:rsid w:val="00C5247D"/>
    <w:rsid w:val="00C55F5F"/>
    <w:rsid w:val="00C57F02"/>
    <w:rsid w:val="00C603A0"/>
    <w:rsid w:val="00C6122D"/>
    <w:rsid w:val="00C64263"/>
    <w:rsid w:val="00C649E8"/>
    <w:rsid w:val="00C728CE"/>
    <w:rsid w:val="00C74519"/>
    <w:rsid w:val="00C76CCB"/>
    <w:rsid w:val="00C77915"/>
    <w:rsid w:val="00C82425"/>
    <w:rsid w:val="00C8308D"/>
    <w:rsid w:val="00C8539E"/>
    <w:rsid w:val="00C86172"/>
    <w:rsid w:val="00C95D62"/>
    <w:rsid w:val="00C97850"/>
    <w:rsid w:val="00CA0B16"/>
    <w:rsid w:val="00CA0CD6"/>
    <w:rsid w:val="00CA51C9"/>
    <w:rsid w:val="00CA7BC2"/>
    <w:rsid w:val="00CB15F7"/>
    <w:rsid w:val="00CB186B"/>
    <w:rsid w:val="00CB392D"/>
    <w:rsid w:val="00CB6D10"/>
    <w:rsid w:val="00CB7098"/>
    <w:rsid w:val="00CC054D"/>
    <w:rsid w:val="00CC2442"/>
    <w:rsid w:val="00CC48F1"/>
    <w:rsid w:val="00CD01EA"/>
    <w:rsid w:val="00CD0D5B"/>
    <w:rsid w:val="00CD0DE7"/>
    <w:rsid w:val="00CD1037"/>
    <w:rsid w:val="00CD1844"/>
    <w:rsid w:val="00CD1CD0"/>
    <w:rsid w:val="00CD273B"/>
    <w:rsid w:val="00CD783D"/>
    <w:rsid w:val="00CF1701"/>
    <w:rsid w:val="00CF5D1E"/>
    <w:rsid w:val="00CF6602"/>
    <w:rsid w:val="00D00D0B"/>
    <w:rsid w:val="00D04998"/>
    <w:rsid w:val="00D04EA6"/>
    <w:rsid w:val="00D0534D"/>
    <w:rsid w:val="00D07B8C"/>
    <w:rsid w:val="00D1081B"/>
    <w:rsid w:val="00D10B06"/>
    <w:rsid w:val="00D23172"/>
    <w:rsid w:val="00D24717"/>
    <w:rsid w:val="00D265E4"/>
    <w:rsid w:val="00D273EF"/>
    <w:rsid w:val="00D27AA4"/>
    <w:rsid w:val="00D3171D"/>
    <w:rsid w:val="00D319C3"/>
    <w:rsid w:val="00D336AE"/>
    <w:rsid w:val="00D40FC8"/>
    <w:rsid w:val="00D41F6D"/>
    <w:rsid w:val="00D44237"/>
    <w:rsid w:val="00D47960"/>
    <w:rsid w:val="00D5177F"/>
    <w:rsid w:val="00D54025"/>
    <w:rsid w:val="00D55416"/>
    <w:rsid w:val="00D555AB"/>
    <w:rsid w:val="00D56671"/>
    <w:rsid w:val="00D60918"/>
    <w:rsid w:val="00D60F7A"/>
    <w:rsid w:val="00D638C3"/>
    <w:rsid w:val="00D66A16"/>
    <w:rsid w:val="00D71EA3"/>
    <w:rsid w:val="00D768F7"/>
    <w:rsid w:val="00D83D19"/>
    <w:rsid w:val="00D86A33"/>
    <w:rsid w:val="00D9666A"/>
    <w:rsid w:val="00D96960"/>
    <w:rsid w:val="00D97D96"/>
    <w:rsid w:val="00DA06B3"/>
    <w:rsid w:val="00DA655C"/>
    <w:rsid w:val="00DA6776"/>
    <w:rsid w:val="00DB3883"/>
    <w:rsid w:val="00DB5AC7"/>
    <w:rsid w:val="00DB5C2D"/>
    <w:rsid w:val="00DB77A9"/>
    <w:rsid w:val="00DC06D0"/>
    <w:rsid w:val="00DC0A6D"/>
    <w:rsid w:val="00DC10E4"/>
    <w:rsid w:val="00DC19B4"/>
    <w:rsid w:val="00DC62DC"/>
    <w:rsid w:val="00DC757A"/>
    <w:rsid w:val="00DD69B1"/>
    <w:rsid w:val="00DE0716"/>
    <w:rsid w:val="00DE0898"/>
    <w:rsid w:val="00DE0D15"/>
    <w:rsid w:val="00DE26C8"/>
    <w:rsid w:val="00DE3C81"/>
    <w:rsid w:val="00DE3D5A"/>
    <w:rsid w:val="00DE3FDB"/>
    <w:rsid w:val="00DE6A56"/>
    <w:rsid w:val="00DF173F"/>
    <w:rsid w:val="00DF19E5"/>
    <w:rsid w:val="00DF64D5"/>
    <w:rsid w:val="00E012DF"/>
    <w:rsid w:val="00E03734"/>
    <w:rsid w:val="00E040CE"/>
    <w:rsid w:val="00E07B5E"/>
    <w:rsid w:val="00E07FED"/>
    <w:rsid w:val="00E1425B"/>
    <w:rsid w:val="00E15ED3"/>
    <w:rsid w:val="00E20DEA"/>
    <w:rsid w:val="00E23917"/>
    <w:rsid w:val="00E2516F"/>
    <w:rsid w:val="00E27135"/>
    <w:rsid w:val="00E32755"/>
    <w:rsid w:val="00E336B5"/>
    <w:rsid w:val="00E37902"/>
    <w:rsid w:val="00E407CB"/>
    <w:rsid w:val="00E40B22"/>
    <w:rsid w:val="00E41B3D"/>
    <w:rsid w:val="00E41D80"/>
    <w:rsid w:val="00E4635F"/>
    <w:rsid w:val="00E47B83"/>
    <w:rsid w:val="00E53B9F"/>
    <w:rsid w:val="00E626A4"/>
    <w:rsid w:val="00E6339C"/>
    <w:rsid w:val="00E6521E"/>
    <w:rsid w:val="00E71147"/>
    <w:rsid w:val="00E732B4"/>
    <w:rsid w:val="00E75B62"/>
    <w:rsid w:val="00E7665A"/>
    <w:rsid w:val="00E77835"/>
    <w:rsid w:val="00E84E66"/>
    <w:rsid w:val="00E85398"/>
    <w:rsid w:val="00E85A13"/>
    <w:rsid w:val="00E90735"/>
    <w:rsid w:val="00E907E3"/>
    <w:rsid w:val="00E91727"/>
    <w:rsid w:val="00E95469"/>
    <w:rsid w:val="00EA0A11"/>
    <w:rsid w:val="00EA0BFD"/>
    <w:rsid w:val="00EA0F7D"/>
    <w:rsid w:val="00EA19AE"/>
    <w:rsid w:val="00EA26B1"/>
    <w:rsid w:val="00EA7D98"/>
    <w:rsid w:val="00EB1FBD"/>
    <w:rsid w:val="00EB25FF"/>
    <w:rsid w:val="00EB4FBC"/>
    <w:rsid w:val="00EB52A6"/>
    <w:rsid w:val="00EB72D2"/>
    <w:rsid w:val="00EC0783"/>
    <w:rsid w:val="00EC0F26"/>
    <w:rsid w:val="00EC2883"/>
    <w:rsid w:val="00EC41F8"/>
    <w:rsid w:val="00EC4CAF"/>
    <w:rsid w:val="00ED11E5"/>
    <w:rsid w:val="00ED13AB"/>
    <w:rsid w:val="00ED2821"/>
    <w:rsid w:val="00ED383A"/>
    <w:rsid w:val="00ED637B"/>
    <w:rsid w:val="00EE1396"/>
    <w:rsid w:val="00EE4239"/>
    <w:rsid w:val="00EE4663"/>
    <w:rsid w:val="00EF5177"/>
    <w:rsid w:val="00EF5503"/>
    <w:rsid w:val="00EF5D08"/>
    <w:rsid w:val="00EF61DC"/>
    <w:rsid w:val="00EF6689"/>
    <w:rsid w:val="00EF6F5E"/>
    <w:rsid w:val="00EF76BF"/>
    <w:rsid w:val="00EF7EC3"/>
    <w:rsid w:val="00F0190F"/>
    <w:rsid w:val="00F04E67"/>
    <w:rsid w:val="00F052BF"/>
    <w:rsid w:val="00F05F03"/>
    <w:rsid w:val="00F123E7"/>
    <w:rsid w:val="00F14134"/>
    <w:rsid w:val="00F14E58"/>
    <w:rsid w:val="00F169A3"/>
    <w:rsid w:val="00F1765E"/>
    <w:rsid w:val="00F23672"/>
    <w:rsid w:val="00F23CF0"/>
    <w:rsid w:val="00F30FDC"/>
    <w:rsid w:val="00F31FFF"/>
    <w:rsid w:val="00F321EA"/>
    <w:rsid w:val="00F3273E"/>
    <w:rsid w:val="00F35933"/>
    <w:rsid w:val="00F3794A"/>
    <w:rsid w:val="00F405F3"/>
    <w:rsid w:val="00F40885"/>
    <w:rsid w:val="00F4192F"/>
    <w:rsid w:val="00F42950"/>
    <w:rsid w:val="00F43B82"/>
    <w:rsid w:val="00F445BC"/>
    <w:rsid w:val="00F54826"/>
    <w:rsid w:val="00F55CA1"/>
    <w:rsid w:val="00F575DD"/>
    <w:rsid w:val="00F62011"/>
    <w:rsid w:val="00F654E8"/>
    <w:rsid w:val="00F656F3"/>
    <w:rsid w:val="00F6589D"/>
    <w:rsid w:val="00F67064"/>
    <w:rsid w:val="00F6759A"/>
    <w:rsid w:val="00F709EF"/>
    <w:rsid w:val="00F72186"/>
    <w:rsid w:val="00F80061"/>
    <w:rsid w:val="00F81388"/>
    <w:rsid w:val="00F82027"/>
    <w:rsid w:val="00F8221D"/>
    <w:rsid w:val="00F87736"/>
    <w:rsid w:val="00F904B6"/>
    <w:rsid w:val="00F90D03"/>
    <w:rsid w:val="00F910DB"/>
    <w:rsid w:val="00F94476"/>
    <w:rsid w:val="00F95581"/>
    <w:rsid w:val="00F97140"/>
    <w:rsid w:val="00F97AFF"/>
    <w:rsid w:val="00FA39EC"/>
    <w:rsid w:val="00FA58D0"/>
    <w:rsid w:val="00FB1149"/>
    <w:rsid w:val="00FB1FCA"/>
    <w:rsid w:val="00FB2825"/>
    <w:rsid w:val="00FB4131"/>
    <w:rsid w:val="00FB4E2D"/>
    <w:rsid w:val="00FC2C46"/>
    <w:rsid w:val="00FC39C4"/>
    <w:rsid w:val="00FD0580"/>
    <w:rsid w:val="00FD0C31"/>
    <w:rsid w:val="00FD1FED"/>
    <w:rsid w:val="00FD20C8"/>
    <w:rsid w:val="00FD28AF"/>
    <w:rsid w:val="00FD2981"/>
    <w:rsid w:val="00FD394B"/>
    <w:rsid w:val="00FD3CE2"/>
    <w:rsid w:val="00FD3D62"/>
    <w:rsid w:val="00FD429B"/>
    <w:rsid w:val="00FE2161"/>
    <w:rsid w:val="00FE3FF6"/>
    <w:rsid w:val="00FE417C"/>
    <w:rsid w:val="00FE7891"/>
    <w:rsid w:val="00FE78C4"/>
    <w:rsid w:val="00FF6A79"/>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D2D7C1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4E66"/>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ED13AB"/>
    <w:rPr>
      <w:rFonts w:ascii="Times New Roman" w:hAnsi="Times New Roman" w:cs="Times New Roman"/>
      <w:kern w:val="0"/>
      <w:sz w:val="20"/>
      <w:szCs w:val="20"/>
      <w:lang w:val="en-GB" w:eastAsia="zh-TW"/>
    </w:rPr>
  </w:style>
  <w:style w:type="character" w:customStyle="1" w:styleId="B-BodyChar">
    <w:name w:val="B-Body Char"/>
    <w:basedOn w:val="a0"/>
    <w:link w:val="B-Body"/>
    <w:uiPriority w:val="30"/>
    <w:locked/>
    <w:rsid w:val="00ED13AB"/>
    <w:rPr>
      <w:rFonts w:ascii="Times New Roman" w:hAnsi="Times New Roman" w:cs="Times New Roman"/>
      <w:sz w:val="22"/>
    </w:rPr>
  </w:style>
  <w:style w:type="paragraph" w:customStyle="1" w:styleId="B-Body">
    <w:name w:val="B-Body"/>
    <w:link w:val="B-BodyChar"/>
    <w:uiPriority w:val="30"/>
    <w:qFormat/>
    <w:rsid w:val="00ED13AB"/>
    <w:pPr>
      <w:tabs>
        <w:tab w:val="left" w:pos="2160"/>
      </w:tabs>
      <w:spacing w:before="120" w:after="40"/>
      <w:ind w:left="720"/>
    </w:pPr>
    <w:rPr>
      <w:rFonts w:ascii="Times New Roman" w:hAnsi="Times New Roman" w:cs="Times New Roman"/>
      <w:sz w:val="22"/>
    </w:rPr>
  </w:style>
  <w:style w:type="character" w:customStyle="1" w:styleId="B2Char">
    <w:name w:val="B2 Char"/>
    <w:link w:val="B2"/>
    <w:qFormat/>
    <w:locked/>
    <w:rsid w:val="00ED13AB"/>
  </w:style>
  <w:style w:type="paragraph" w:customStyle="1" w:styleId="B2">
    <w:name w:val="B2"/>
    <w:basedOn w:val="22"/>
    <w:link w:val="B2Char"/>
    <w:qFormat/>
    <w:rsid w:val="00ED13AB"/>
    <w:pPr>
      <w:overflowPunct w:val="0"/>
      <w:autoSpaceDE w:val="0"/>
      <w:autoSpaceDN w:val="0"/>
      <w:adjustRightInd w:val="0"/>
      <w:spacing w:beforeLines="0" w:before="0" w:afterLines="0" w:after="180"/>
      <w:ind w:leftChars="0" w:left="851" w:firstLineChars="0" w:hanging="284"/>
      <w:contextualSpacing w:val="0"/>
      <w:jc w:val="left"/>
    </w:pPr>
    <w:rPr>
      <w:rFonts w:asciiTheme="minorHAnsi" w:eastAsiaTheme="minorEastAsia" w:hAnsiTheme="minorHAnsi"/>
      <w:sz w:val="21"/>
    </w:rPr>
  </w:style>
  <w:style w:type="paragraph" w:styleId="22">
    <w:name w:val="List 2"/>
    <w:basedOn w:val="a"/>
    <w:uiPriority w:val="99"/>
    <w:semiHidden/>
    <w:unhideWhenUsed/>
    <w:rsid w:val="00ED13AB"/>
    <w:pPr>
      <w:ind w:leftChars="200" w:left="100" w:hangingChars="200" w:hanging="200"/>
      <w:contextualSpacing/>
    </w:pPr>
  </w:style>
  <w:style w:type="character" w:customStyle="1" w:styleId="PLChar">
    <w:name w:val="PL Char"/>
    <w:link w:val="PL"/>
    <w:qFormat/>
    <w:locked/>
    <w:rsid w:val="00805E6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805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styleId="af1">
    <w:name w:val="annotation reference"/>
    <w:basedOn w:val="a0"/>
    <w:uiPriority w:val="99"/>
    <w:semiHidden/>
    <w:unhideWhenUsed/>
    <w:rsid w:val="002F5D12"/>
    <w:rPr>
      <w:sz w:val="21"/>
      <w:szCs w:val="21"/>
    </w:rPr>
  </w:style>
  <w:style w:type="paragraph" w:styleId="af2">
    <w:name w:val="annotation text"/>
    <w:basedOn w:val="a"/>
    <w:link w:val="af3"/>
    <w:uiPriority w:val="99"/>
    <w:semiHidden/>
    <w:unhideWhenUsed/>
    <w:rsid w:val="002F5D12"/>
    <w:pPr>
      <w:jc w:val="left"/>
    </w:pPr>
  </w:style>
  <w:style w:type="character" w:customStyle="1" w:styleId="af3">
    <w:name w:val="批注文字 字符"/>
    <w:basedOn w:val="a0"/>
    <w:link w:val="af2"/>
    <w:uiPriority w:val="99"/>
    <w:semiHidden/>
    <w:rsid w:val="002F5D12"/>
    <w:rPr>
      <w:rFonts w:ascii="Times New Roman" w:eastAsia="Times New Roman" w:hAnsi="Times New Roman"/>
      <w:sz w:val="20"/>
    </w:rPr>
  </w:style>
  <w:style w:type="paragraph" w:styleId="af4">
    <w:name w:val="annotation subject"/>
    <w:basedOn w:val="af2"/>
    <w:next w:val="af2"/>
    <w:link w:val="af5"/>
    <w:uiPriority w:val="99"/>
    <w:semiHidden/>
    <w:unhideWhenUsed/>
    <w:rsid w:val="002F5D12"/>
    <w:rPr>
      <w:b/>
      <w:bCs/>
    </w:rPr>
  </w:style>
  <w:style w:type="character" w:customStyle="1" w:styleId="af5">
    <w:name w:val="批注主题 字符"/>
    <w:basedOn w:val="af3"/>
    <w:link w:val="af4"/>
    <w:uiPriority w:val="99"/>
    <w:semiHidden/>
    <w:rsid w:val="002F5D12"/>
    <w:rPr>
      <w:rFonts w:ascii="Times New Roman" w:eastAsia="Times New Roman" w:hAnsi="Times New Roman"/>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16804575">
      <w:bodyDiv w:val="1"/>
      <w:marLeft w:val="0"/>
      <w:marRight w:val="0"/>
      <w:marTop w:val="0"/>
      <w:marBottom w:val="0"/>
      <w:divBdr>
        <w:top w:val="none" w:sz="0" w:space="0" w:color="auto"/>
        <w:left w:val="none" w:sz="0" w:space="0" w:color="auto"/>
        <w:bottom w:val="none" w:sz="0" w:space="0" w:color="auto"/>
        <w:right w:val="none" w:sz="0" w:space="0" w:color="auto"/>
      </w:divBdr>
    </w:div>
    <w:div w:id="228734870">
      <w:bodyDiv w:val="1"/>
      <w:marLeft w:val="0"/>
      <w:marRight w:val="0"/>
      <w:marTop w:val="0"/>
      <w:marBottom w:val="0"/>
      <w:divBdr>
        <w:top w:val="none" w:sz="0" w:space="0" w:color="auto"/>
        <w:left w:val="none" w:sz="0" w:space="0" w:color="auto"/>
        <w:bottom w:val="none" w:sz="0" w:space="0" w:color="auto"/>
        <w:right w:val="none" w:sz="0" w:space="0" w:color="auto"/>
      </w:divBdr>
    </w:div>
    <w:div w:id="303004047">
      <w:bodyDiv w:val="1"/>
      <w:marLeft w:val="0"/>
      <w:marRight w:val="0"/>
      <w:marTop w:val="0"/>
      <w:marBottom w:val="0"/>
      <w:divBdr>
        <w:top w:val="none" w:sz="0" w:space="0" w:color="auto"/>
        <w:left w:val="none" w:sz="0" w:space="0" w:color="auto"/>
        <w:bottom w:val="none" w:sz="0" w:space="0" w:color="auto"/>
        <w:right w:val="none" w:sz="0" w:space="0" w:color="auto"/>
      </w:divBdr>
    </w:div>
    <w:div w:id="528958231">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99531339">
      <w:bodyDiv w:val="1"/>
      <w:marLeft w:val="0"/>
      <w:marRight w:val="0"/>
      <w:marTop w:val="0"/>
      <w:marBottom w:val="0"/>
      <w:divBdr>
        <w:top w:val="none" w:sz="0" w:space="0" w:color="auto"/>
        <w:left w:val="none" w:sz="0" w:space="0" w:color="auto"/>
        <w:bottom w:val="none" w:sz="0" w:space="0" w:color="auto"/>
        <w:right w:val="none" w:sz="0" w:space="0" w:color="auto"/>
      </w:divBdr>
    </w:div>
    <w:div w:id="610943031">
      <w:bodyDiv w:val="1"/>
      <w:marLeft w:val="0"/>
      <w:marRight w:val="0"/>
      <w:marTop w:val="0"/>
      <w:marBottom w:val="0"/>
      <w:divBdr>
        <w:top w:val="none" w:sz="0" w:space="0" w:color="auto"/>
        <w:left w:val="none" w:sz="0" w:space="0" w:color="auto"/>
        <w:bottom w:val="none" w:sz="0" w:space="0" w:color="auto"/>
        <w:right w:val="none" w:sz="0" w:space="0" w:color="auto"/>
      </w:divBdr>
    </w:div>
    <w:div w:id="622423643">
      <w:bodyDiv w:val="1"/>
      <w:marLeft w:val="0"/>
      <w:marRight w:val="0"/>
      <w:marTop w:val="0"/>
      <w:marBottom w:val="0"/>
      <w:divBdr>
        <w:top w:val="none" w:sz="0" w:space="0" w:color="auto"/>
        <w:left w:val="none" w:sz="0" w:space="0" w:color="auto"/>
        <w:bottom w:val="none" w:sz="0" w:space="0" w:color="auto"/>
        <w:right w:val="none" w:sz="0" w:space="0" w:color="auto"/>
      </w:divBdr>
      <w:divsChild>
        <w:div w:id="1711801585">
          <w:marLeft w:val="547"/>
          <w:marRight w:val="0"/>
          <w:marTop w:val="67"/>
          <w:marBottom w:val="0"/>
          <w:divBdr>
            <w:top w:val="none" w:sz="0" w:space="0" w:color="auto"/>
            <w:left w:val="none" w:sz="0" w:space="0" w:color="auto"/>
            <w:bottom w:val="none" w:sz="0" w:space="0" w:color="auto"/>
            <w:right w:val="none" w:sz="0" w:space="0" w:color="auto"/>
          </w:divBdr>
        </w:div>
        <w:div w:id="93407900">
          <w:marLeft w:val="1166"/>
          <w:marRight w:val="0"/>
          <w:marTop w:val="67"/>
          <w:marBottom w:val="0"/>
          <w:divBdr>
            <w:top w:val="none" w:sz="0" w:space="0" w:color="auto"/>
            <w:left w:val="none" w:sz="0" w:space="0" w:color="auto"/>
            <w:bottom w:val="none" w:sz="0" w:space="0" w:color="auto"/>
            <w:right w:val="none" w:sz="0" w:space="0" w:color="auto"/>
          </w:divBdr>
        </w:div>
        <w:div w:id="2116169587">
          <w:marLeft w:val="1800"/>
          <w:marRight w:val="0"/>
          <w:marTop w:val="67"/>
          <w:marBottom w:val="0"/>
          <w:divBdr>
            <w:top w:val="none" w:sz="0" w:space="0" w:color="auto"/>
            <w:left w:val="none" w:sz="0" w:space="0" w:color="auto"/>
            <w:bottom w:val="none" w:sz="0" w:space="0" w:color="auto"/>
            <w:right w:val="none" w:sz="0" w:space="0" w:color="auto"/>
          </w:divBdr>
        </w:div>
        <w:div w:id="1312248398">
          <w:marLeft w:val="1800"/>
          <w:marRight w:val="0"/>
          <w:marTop w:val="67"/>
          <w:marBottom w:val="0"/>
          <w:divBdr>
            <w:top w:val="none" w:sz="0" w:space="0" w:color="auto"/>
            <w:left w:val="none" w:sz="0" w:space="0" w:color="auto"/>
            <w:bottom w:val="none" w:sz="0" w:space="0" w:color="auto"/>
            <w:right w:val="none" w:sz="0" w:space="0" w:color="auto"/>
          </w:divBdr>
        </w:div>
      </w:divsChild>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41929619">
      <w:bodyDiv w:val="1"/>
      <w:marLeft w:val="0"/>
      <w:marRight w:val="0"/>
      <w:marTop w:val="0"/>
      <w:marBottom w:val="0"/>
      <w:divBdr>
        <w:top w:val="none" w:sz="0" w:space="0" w:color="auto"/>
        <w:left w:val="none" w:sz="0" w:space="0" w:color="auto"/>
        <w:bottom w:val="none" w:sz="0" w:space="0" w:color="auto"/>
        <w:right w:val="none" w:sz="0" w:space="0" w:color="auto"/>
      </w:divBdr>
    </w:div>
    <w:div w:id="674694787">
      <w:bodyDiv w:val="1"/>
      <w:marLeft w:val="0"/>
      <w:marRight w:val="0"/>
      <w:marTop w:val="0"/>
      <w:marBottom w:val="0"/>
      <w:divBdr>
        <w:top w:val="none" w:sz="0" w:space="0" w:color="auto"/>
        <w:left w:val="none" w:sz="0" w:space="0" w:color="auto"/>
        <w:bottom w:val="none" w:sz="0" w:space="0" w:color="auto"/>
        <w:right w:val="none" w:sz="0" w:space="0" w:color="auto"/>
      </w:divBdr>
    </w:div>
    <w:div w:id="726027133">
      <w:bodyDiv w:val="1"/>
      <w:marLeft w:val="0"/>
      <w:marRight w:val="0"/>
      <w:marTop w:val="0"/>
      <w:marBottom w:val="0"/>
      <w:divBdr>
        <w:top w:val="none" w:sz="0" w:space="0" w:color="auto"/>
        <w:left w:val="none" w:sz="0" w:space="0" w:color="auto"/>
        <w:bottom w:val="none" w:sz="0" w:space="0" w:color="auto"/>
        <w:right w:val="none" w:sz="0" w:space="0" w:color="auto"/>
      </w:divBdr>
    </w:div>
    <w:div w:id="969357507">
      <w:bodyDiv w:val="1"/>
      <w:marLeft w:val="0"/>
      <w:marRight w:val="0"/>
      <w:marTop w:val="0"/>
      <w:marBottom w:val="0"/>
      <w:divBdr>
        <w:top w:val="none" w:sz="0" w:space="0" w:color="auto"/>
        <w:left w:val="none" w:sz="0" w:space="0" w:color="auto"/>
        <w:bottom w:val="none" w:sz="0" w:space="0" w:color="auto"/>
        <w:right w:val="none" w:sz="0" w:space="0" w:color="auto"/>
      </w:divBdr>
    </w:div>
    <w:div w:id="1033993251">
      <w:bodyDiv w:val="1"/>
      <w:marLeft w:val="0"/>
      <w:marRight w:val="0"/>
      <w:marTop w:val="0"/>
      <w:marBottom w:val="0"/>
      <w:divBdr>
        <w:top w:val="none" w:sz="0" w:space="0" w:color="auto"/>
        <w:left w:val="none" w:sz="0" w:space="0" w:color="auto"/>
        <w:bottom w:val="none" w:sz="0" w:space="0" w:color="auto"/>
        <w:right w:val="none" w:sz="0" w:space="0" w:color="auto"/>
      </w:divBdr>
    </w:div>
    <w:div w:id="1098211843">
      <w:bodyDiv w:val="1"/>
      <w:marLeft w:val="0"/>
      <w:marRight w:val="0"/>
      <w:marTop w:val="0"/>
      <w:marBottom w:val="0"/>
      <w:divBdr>
        <w:top w:val="none" w:sz="0" w:space="0" w:color="auto"/>
        <w:left w:val="none" w:sz="0" w:space="0" w:color="auto"/>
        <w:bottom w:val="none" w:sz="0" w:space="0" w:color="auto"/>
        <w:right w:val="none" w:sz="0" w:space="0" w:color="auto"/>
      </w:divBdr>
    </w:div>
    <w:div w:id="1121922451">
      <w:bodyDiv w:val="1"/>
      <w:marLeft w:val="0"/>
      <w:marRight w:val="0"/>
      <w:marTop w:val="0"/>
      <w:marBottom w:val="0"/>
      <w:divBdr>
        <w:top w:val="none" w:sz="0" w:space="0" w:color="auto"/>
        <w:left w:val="none" w:sz="0" w:space="0" w:color="auto"/>
        <w:bottom w:val="none" w:sz="0" w:space="0" w:color="auto"/>
        <w:right w:val="none" w:sz="0" w:space="0" w:color="auto"/>
      </w:divBdr>
      <w:divsChild>
        <w:div w:id="197935787">
          <w:marLeft w:val="1642"/>
          <w:marRight w:val="0"/>
          <w:marTop w:val="58"/>
          <w:marBottom w:val="0"/>
          <w:divBdr>
            <w:top w:val="none" w:sz="0" w:space="0" w:color="auto"/>
            <w:left w:val="none" w:sz="0" w:space="0" w:color="auto"/>
            <w:bottom w:val="none" w:sz="0" w:space="0" w:color="auto"/>
            <w:right w:val="none" w:sz="0" w:space="0" w:color="auto"/>
          </w:divBdr>
        </w:div>
      </w:divsChild>
    </w:div>
    <w:div w:id="1309556296">
      <w:bodyDiv w:val="1"/>
      <w:marLeft w:val="0"/>
      <w:marRight w:val="0"/>
      <w:marTop w:val="0"/>
      <w:marBottom w:val="0"/>
      <w:divBdr>
        <w:top w:val="none" w:sz="0" w:space="0" w:color="auto"/>
        <w:left w:val="none" w:sz="0" w:space="0" w:color="auto"/>
        <w:bottom w:val="none" w:sz="0" w:space="0" w:color="auto"/>
        <w:right w:val="none" w:sz="0" w:space="0" w:color="auto"/>
      </w:divBdr>
    </w:div>
    <w:div w:id="1317997024">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9450561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309638">
      <w:bodyDiv w:val="1"/>
      <w:marLeft w:val="0"/>
      <w:marRight w:val="0"/>
      <w:marTop w:val="0"/>
      <w:marBottom w:val="0"/>
      <w:divBdr>
        <w:top w:val="none" w:sz="0" w:space="0" w:color="auto"/>
        <w:left w:val="none" w:sz="0" w:space="0" w:color="auto"/>
        <w:bottom w:val="none" w:sz="0" w:space="0" w:color="auto"/>
        <w:right w:val="none" w:sz="0" w:space="0" w:color="auto"/>
      </w:divBdr>
    </w:div>
    <w:div w:id="1910918080">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47615414">
      <w:bodyDiv w:val="1"/>
      <w:marLeft w:val="0"/>
      <w:marRight w:val="0"/>
      <w:marTop w:val="0"/>
      <w:marBottom w:val="0"/>
      <w:divBdr>
        <w:top w:val="none" w:sz="0" w:space="0" w:color="auto"/>
        <w:left w:val="none" w:sz="0" w:space="0" w:color="auto"/>
        <w:bottom w:val="none" w:sz="0" w:space="0" w:color="auto"/>
        <w:right w:val="none" w:sz="0" w:space="0" w:color="auto"/>
      </w:divBdr>
    </w:div>
    <w:div w:id="1999527716">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DA48F-9C12-4233-9481-B006B6282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4751</TotalTime>
  <Pages>2</Pages>
  <Words>644</Words>
  <Characters>3672</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Xie Zonghui</cp:lastModifiedBy>
  <cp:revision>867</cp:revision>
  <dcterms:created xsi:type="dcterms:W3CDTF">2021-05-17T06:03:00Z</dcterms:created>
  <dcterms:modified xsi:type="dcterms:W3CDTF">2023-11-02T01:44:00Z</dcterms:modified>
</cp:coreProperties>
</file>